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1050"/>
        <w:gridCol w:w="1501"/>
        <w:gridCol w:w="389"/>
        <w:gridCol w:w="450"/>
        <w:gridCol w:w="1004"/>
        <w:gridCol w:w="3402"/>
        <w:gridCol w:w="510"/>
      </w:tblGrid>
      <w:tr w:rsidR="00762E0E" w:rsidTr="0057627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0" w:name="dtableau"/>
            <w:bookmarkStart w:id="1" w:name="dbluepink" w:colFirst="1" w:colLast="1"/>
            <w:r>
              <w:rPr>
                <w:b/>
                <w:bCs/>
              </w:rPr>
              <w:t>Question(s):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62E0E" w:rsidRDefault="0057627C">
            <w:r>
              <w:t>12/9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62E0E" w:rsidRDefault="00AF0ADB">
            <w:r>
              <w:t>VQEG</w:t>
            </w:r>
            <w:r w:rsidR="0057627C">
              <w:t xml:space="preserve">, 8-12 July 2013 </w:t>
            </w:r>
          </w:p>
        </w:tc>
      </w:tr>
      <w:bookmarkEnd w:id="1"/>
      <w:tr w:rsidR="00762E0E" w:rsidTr="00AF0AD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1050" w:type="dxa"/>
          </w:tcPr>
          <w:p w:rsidR="00762E0E" w:rsidRDefault="00AF0ADB">
            <w:r>
              <w:t>JRG-MMQA</w:t>
            </w:r>
          </w:p>
        </w:tc>
        <w:tc>
          <w:tcPr>
            <w:tcW w:w="1890" w:type="dxa"/>
            <w:gridSpan w:val="2"/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450" w:type="dxa"/>
          </w:tcPr>
          <w:p w:rsidR="00762E0E" w:rsidRDefault="0057627C">
            <w:r>
              <w:t>1</w:t>
            </w:r>
            <w:r w:rsidR="00AF0ADB">
              <w:t>/9</w:t>
            </w:r>
          </w:p>
        </w:tc>
        <w:tc>
          <w:tcPr>
            <w:tcW w:w="4406" w:type="dxa"/>
            <w:gridSpan w:val="2"/>
          </w:tcPr>
          <w:p w:rsidR="00762E0E" w:rsidRDefault="00762E0E">
            <w:r>
              <w:rPr>
                <w:b/>
                <w:bCs/>
              </w:rPr>
              <w:t>Intended type of document</w:t>
            </w:r>
            <w:r>
              <w:t xml:space="preserve"> (R-C-TD):</w:t>
            </w:r>
            <w:r w:rsidR="0057627C">
              <w:t xml:space="preserve"> TD</w:t>
            </w:r>
          </w:p>
        </w:tc>
        <w:tc>
          <w:tcPr>
            <w:tcW w:w="510" w:type="dxa"/>
          </w:tcPr>
          <w:p w:rsidR="00762E0E" w:rsidRDefault="00762E0E"/>
        </w:tc>
      </w:tr>
      <w:tr w:rsidR="00762E0E" w:rsidTr="0057627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</w:tcPr>
          <w:p w:rsidR="00762E0E" w:rsidRDefault="00762E0E">
            <w:pPr>
              <w:rPr>
                <w:b/>
                <w:bCs/>
              </w:rPr>
            </w:pPr>
            <w:bookmarkStart w:id="2" w:name="dsource" w:colFirst="1" w:colLast="1"/>
            <w:r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7"/>
          </w:tcPr>
          <w:p w:rsidR="00762E0E" w:rsidRDefault="0057627C">
            <w:r>
              <w:t>NTIA/ITS</w:t>
            </w:r>
          </w:p>
        </w:tc>
      </w:tr>
      <w:tr w:rsidR="00762E0E" w:rsidTr="0057627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</w:p>
        </w:tc>
        <w:tc>
          <w:tcPr>
            <w:tcW w:w="8306" w:type="dxa"/>
            <w:gridSpan w:val="7"/>
            <w:tcBorders>
              <w:bottom w:val="single" w:sz="12" w:space="0" w:color="auto"/>
            </w:tcBorders>
          </w:tcPr>
          <w:p w:rsidR="00762E0E" w:rsidRDefault="0057627C">
            <w:r>
              <w:t xml:space="preserve">Proposal to insert the VQEG subject screening method into draft new Recommendation </w:t>
            </w:r>
            <w:proofErr w:type="spellStart"/>
            <w:r>
              <w:t>J.av-dist</w:t>
            </w:r>
            <w:proofErr w:type="spellEnd"/>
          </w:p>
        </w:tc>
      </w:tr>
      <w:tr w:rsidR="00762E0E" w:rsidTr="0057627C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4" w:name="dcontact"/>
            <w:bookmarkEnd w:id="3"/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762E0E" w:rsidRDefault="0057627C">
            <w:r>
              <w:t>Margaret H. Pinson</w:t>
            </w:r>
          </w:p>
          <w:p w:rsidR="00762E0E" w:rsidRDefault="0057627C">
            <w:pPr>
              <w:spacing w:before="0"/>
            </w:pPr>
            <w:r>
              <w:t>NTIA/ITS</w:t>
            </w:r>
          </w:p>
          <w:p w:rsidR="00762E0E" w:rsidRDefault="0057627C">
            <w:pPr>
              <w:spacing w:before="0"/>
            </w:pPr>
            <w:r>
              <w:t>USA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62E0E" w:rsidRDefault="00762E0E">
            <w:r>
              <w:t>Tel:</w:t>
            </w:r>
            <w:r w:rsidR="0057627C">
              <w:t xml:space="preserve"> +1 303-497-3579</w:t>
            </w:r>
          </w:p>
          <w:p w:rsidR="00762E0E" w:rsidRDefault="00762E0E">
            <w:pPr>
              <w:spacing w:before="0"/>
            </w:pPr>
            <w:r>
              <w:t>Fax:</w:t>
            </w:r>
            <w:r w:rsidR="0057627C">
              <w:t xml:space="preserve"> +1 303-497-5969</w:t>
            </w:r>
          </w:p>
          <w:p w:rsidR="00762E0E" w:rsidRDefault="00762E0E">
            <w:pPr>
              <w:spacing w:before="0"/>
            </w:pPr>
            <w:r>
              <w:t>Email:</w:t>
            </w:r>
            <w:r w:rsidR="0057627C">
              <w:t xml:space="preserve"> mpinson@its.bldrdoc.gov</w:t>
            </w:r>
          </w:p>
        </w:tc>
      </w:tr>
      <w:bookmarkEnd w:id="4"/>
      <w:tr w:rsidR="00762E0E" w:rsidTr="0057627C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762E0E" w:rsidRDefault="00762E0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bookmarkEnd w:id="0"/>
    <w:p w:rsidR="0057627C" w:rsidRPr="009D233D" w:rsidRDefault="0057627C" w:rsidP="0057627C">
      <w:pPr>
        <w:jc w:val="center"/>
        <w:rPr>
          <w:b/>
          <w:lang w:val="en-US"/>
        </w:rPr>
      </w:pPr>
      <w:r w:rsidRPr="009D233D">
        <w:rPr>
          <w:b/>
          <w:lang w:val="en-US"/>
        </w:rPr>
        <w:t>Introduction</w:t>
      </w:r>
    </w:p>
    <w:p w:rsidR="0057627C" w:rsidRDefault="0057627C" w:rsidP="0057627C">
      <w:pPr>
        <w:rPr>
          <w:lang w:val="en-US"/>
        </w:rPr>
      </w:pPr>
      <w:r>
        <w:rPr>
          <w:lang w:val="en-US"/>
        </w:rPr>
        <w:t>Draft new Recommendation</w:t>
      </w:r>
      <w:r w:rsidRPr="00F031C1">
        <w:rPr>
          <w:rFonts w:hint="eastAsia"/>
          <w:lang w:val="en-US"/>
        </w:rPr>
        <w:t xml:space="preserve"> </w:t>
      </w:r>
      <w:proofErr w:type="spellStart"/>
      <w:r w:rsidRPr="00F031C1">
        <w:rPr>
          <w:rFonts w:hint="eastAsia"/>
          <w:lang w:val="en-US"/>
        </w:rPr>
        <w:t>J.av-dist</w:t>
      </w:r>
      <w:proofErr w:type="spellEnd"/>
      <w:r w:rsidRPr="00F031C1">
        <w:rPr>
          <w:rFonts w:hint="eastAsia"/>
          <w:lang w:val="en-US"/>
        </w:rPr>
        <w:t xml:space="preserve"> is missing the subject screening </w:t>
      </w:r>
      <w:r>
        <w:rPr>
          <w:lang w:val="en-US"/>
        </w:rPr>
        <w:t>method used by the Video Quality Experts Groups</w:t>
      </w:r>
      <w:r w:rsidR="00EF400E">
        <w:rPr>
          <w:lang w:val="en-US"/>
        </w:rPr>
        <w:t xml:space="preserve"> (VQEG)</w:t>
      </w:r>
      <w:r w:rsidRPr="00F031C1">
        <w:rPr>
          <w:rFonts w:hint="eastAsia"/>
          <w:lang w:val="en-US"/>
        </w:rPr>
        <w:t xml:space="preserve">.  </w:t>
      </w:r>
      <w:r w:rsidR="00EF400E">
        <w:rPr>
          <w:lang w:val="en-US"/>
        </w:rPr>
        <w:t xml:space="preserve">This method has been used successfully in three VQEG validation tests. </w:t>
      </w:r>
    </w:p>
    <w:p w:rsidR="0057627C" w:rsidRPr="009D233D" w:rsidRDefault="0057627C" w:rsidP="0057627C">
      <w:pPr>
        <w:jc w:val="center"/>
        <w:rPr>
          <w:b/>
          <w:lang w:val="en-US"/>
        </w:rPr>
      </w:pPr>
      <w:r w:rsidRPr="009D233D">
        <w:rPr>
          <w:b/>
          <w:lang w:val="en-US"/>
        </w:rPr>
        <w:t>Proposal</w:t>
      </w:r>
    </w:p>
    <w:p w:rsidR="0057627C" w:rsidRPr="00F031C1" w:rsidRDefault="0057627C" w:rsidP="0057627C">
      <w:pPr>
        <w:rPr>
          <w:lang w:val="en-US"/>
        </w:rPr>
      </w:pPr>
      <w:r>
        <w:rPr>
          <w:lang w:val="en-US"/>
        </w:rPr>
        <w:t xml:space="preserve">Add this subject screening method to </w:t>
      </w:r>
      <w:proofErr w:type="spellStart"/>
      <w:r>
        <w:rPr>
          <w:lang w:val="en-US"/>
        </w:rPr>
        <w:t>J.av</w:t>
      </w:r>
      <w:proofErr w:type="spellEnd"/>
      <w:r>
        <w:rPr>
          <w:lang w:val="en-US"/>
        </w:rPr>
        <w:t>-dist. Text is supplied below</w:t>
      </w:r>
      <w:r w:rsidR="00EF400E">
        <w:rPr>
          <w:lang w:val="en-US"/>
        </w:rPr>
        <w:t xml:space="preserve">. This insertion will require the insertion of related text elsewhere in </w:t>
      </w:r>
      <w:proofErr w:type="spellStart"/>
      <w:r w:rsidR="00EF400E">
        <w:rPr>
          <w:lang w:val="en-US"/>
        </w:rPr>
        <w:t>J.av</w:t>
      </w:r>
      <w:proofErr w:type="spellEnd"/>
      <w:r w:rsidR="00EF400E">
        <w:rPr>
          <w:lang w:val="en-US"/>
        </w:rPr>
        <w:t>-dist. The related text and clause locations are</w:t>
      </w:r>
      <w:bookmarkStart w:id="5" w:name="_GoBack"/>
      <w:bookmarkEnd w:id="5"/>
      <w:r w:rsidR="00EF400E">
        <w:rPr>
          <w:lang w:val="en-US"/>
        </w:rPr>
        <w:t xml:space="preserve"> included below.</w:t>
      </w:r>
    </w:p>
    <w:p w:rsidR="0057627C" w:rsidRDefault="0057627C" w:rsidP="0057627C">
      <w:pPr>
        <w:pBdr>
          <w:bottom w:val="single" w:sz="6" w:space="1" w:color="auto"/>
        </w:pBdr>
        <w:jc w:val="center"/>
        <w:rPr>
          <w:lang w:val="en-US"/>
        </w:rPr>
      </w:pPr>
    </w:p>
    <w:p w:rsidR="0057627C" w:rsidRPr="0057627C" w:rsidRDefault="0057627C" w:rsidP="0057627C">
      <w:pPr>
        <w:rPr>
          <w:rFonts w:eastAsia="Calibri"/>
          <w:color w:val="000000"/>
          <w:szCs w:val="24"/>
        </w:rPr>
      </w:pPr>
    </w:p>
    <w:p w:rsidR="0057627C" w:rsidRPr="0057627C" w:rsidRDefault="0057627C" w:rsidP="0057627C">
      <w:pPr>
        <w:rPr>
          <w:rFonts w:eastAsia="Calibri"/>
          <w:color w:val="000000"/>
          <w:szCs w:val="24"/>
          <w:u w:val="single"/>
        </w:rPr>
      </w:pPr>
      <w:r w:rsidRPr="0057627C">
        <w:rPr>
          <w:rFonts w:eastAsia="Calibri"/>
          <w:color w:val="000000"/>
          <w:szCs w:val="24"/>
          <w:u w:val="single"/>
        </w:rPr>
        <w:t>New definitions for clause 3.2:</w:t>
      </w:r>
    </w:p>
    <w:p w:rsidR="0057627C" w:rsidRDefault="0057627C" w:rsidP="0057627C">
      <w:proofErr w:type="gramStart"/>
      <w:r>
        <w:rPr>
          <w:b/>
          <w:lang w:val="en-US"/>
        </w:rPr>
        <w:t>Processed Video Sequence:</w:t>
      </w:r>
      <w:r w:rsidRPr="00024755">
        <w:rPr>
          <w:lang w:val="en-US"/>
        </w:rPr>
        <w:t xml:space="preserve"> </w:t>
      </w:r>
      <w:r w:rsidRPr="00A56319">
        <w:rPr>
          <w:b/>
        </w:rPr>
        <w:t xml:space="preserve"> </w:t>
      </w:r>
      <w:r w:rsidRPr="00A56319">
        <w:t xml:space="preserve">The </w:t>
      </w:r>
      <w:r>
        <w:t>p</w:t>
      </w:r>
      <w:r w:rsidRPr="00A56319">
        <w:t xml:space="preserve">rocessed </w:t>
      </w:r>
      <w:r>
        <w:t>v</w:t>
      </w:r>
      <w:r w:rsidRPr="00A56319">
        <w:t>ideo Sequence (PVS)</w:t>
      </w:r>
      <w:r>
        <w:t xml:space="preserve"> is the impaired version of a video sequence.</w:t>
      </w:r>
      <w:proofErr w:type="gramEnd"/>
      <w:r>
        <w:t xml:space="preserve"> </w:t>
      </w:r>
    </w:p>
    <w:p w:rsidR="0057627C" w:rsidRDefault="0057627C" w:rsidP="0057627C">
      <w:pPr>
        <w:rPr>
          <w:b/>
        </w:rPr>
      </w:pPr>
      <w:r w:rsidRPr="00396A41">
        <w:rPr>
          <w:b/>
        </w:rPr>
        <w:t>Hypothetical Reference Circuit</w:t>
      </w:r>
      <w:r>
        <w:rPr>
          <w:b/>
        </w:rPr>
        <w:t xml:space="preserve">: </w:t>
      </w:r>
      <w:r w:rsidRPr="00A56319">
        <w:t xml:space="preserve">A </w:t>
      </w:r>
      <w:r>
        <w:t>h</w:t>
      </w:r>
      <w:r w:rsidRPr="00A56319">
        <w:t xml:space="preserve">ypothetical </w:t>
      </w:r>
      <w:r>
        <w:t>r</w:t>
      </w:r>
      <w:r w:rsidRPr="00A56319">
        <w:t xml:space="preserve">eference </w:t>
      </w:r>
      <w:r>
        <w:t>c</w:t>
      </w:r>
      <w:r w:rsidRPr="00A56319">
        <w:t>ircuit (HRC)</w:t>
      </w:r>
      <w:r>
        <w:rPr>
          <w:b/>
        </w:rPr>
        <w:t xml:space="preserve"> </w:t>
      </w:r>
      <w:r w:rsidRPr="00396A41">
        <w:t xml:space="preserve">is a fixed combination of </w:t>
      </w:r>
      <w:proofErr w:type="gramStart"/>
      <w:r w:rsidRPr="00396A41">
        <w:t>a</w:t>
      </w:r>
      <w:proofErr w:type="gramEnd"/>
      <w:r w:rsidRPr="00396A41">
        <w:t xml:space="preserve"> video encoder operating at a given bitrate, network condition, and video decoder.</w:t>
      </w:r>
      <w:r w:rsidRPr="00396A41">
        <w:rPr>
          <w:b/>
        </w:rPr>
        <w:t xml:space="preserve"> </w:t>
      </w:r>
      <w:r w:rsidRPr="00DF7DBF">
        <w:t>Th</w:t>
      </w:r>
      <w:r>
        <w:t>e</w:t>
      </w:r>
      <w:r w:rsidRPr="00DF7DBF">
        <w:t xml:space="preserve"> </w:t>
      </w:r>
      <w:r>
        <w:t>term</w:t>
      </w:r>
      <w:r w:rsidRPr="00DF7DBF">
        <w:t xml:space="preserve"> </w:t>
      </w:r>
      <w:r>
        <w:t>HRC is preferred when vendor names should not be identified.</w:t>
      </w:r>
    </w:p>
    <w:p w:rsidR="0057627C" w:rsidRPr="00F031C1" w:rsidRDefault="0057627C" w:rsidP="0057627C">
      <w:pPr>
        <w:rPr>
          <w:u w:val="single"/>
          <w:lang w:val="en-US"/>
        </w:rPr>
      </w:pPr>
      <w:r>
        <w:rPr>
          <w:lang w:val="en-US"/>
        </w:rPr>
        <w:br/>
      </w:r>
      <w:r w:rsidRPr="00F031C1">
        <w:rPr>
          <w:u w:val="single"/>
          <w:lang w:val="en-US"/>
        </w:rPr>
        <w:t>New acronyms for Clause 4:</w:t>
      </w:r>
    </w:p>
    <w:p w:rsidR="0057627C" w:rsidRPr="00F613BF" w:rsidRDefault="0057627C" w:rsidP="0057627C">
      <w:pPr>
        <w:rPr>
          <w:lang w:val="en-US"/>
        </w:rPr>
      </w:pPr>
      <w:r>
        <w:rPr>
          <w:lang w:val="en-US"/>
        </w:rPr>
        <w:t>PVS</w:t>
      </w:r>
      <w:r>
        <w:rPr>
          <w:lang w:val="en-US"/>
        </w:rPr>
        <w:tab/>
      </w:r>
      <w:r w:rsidRPr="00F613BF">
        <w:rPr>
          <w:lang w:val="en-US"/>
        </w:rPr>
        <w:t>Processed Video Sequence</w:t>
      </w:r>
    </w:p>
    <w:p w:rsidR="0057627C" w:rsidRDefault="0057627C" w:rsidP="0057627C">
      <w:pPr>
        <w:rPr>
          <w:lang w:val="en-US"/>
        </w:rPr>
      </w:pPr>
      <w:r>
        <w:rPr>
          <w:lang w:val="en-US"/>
        </w:rPr>
        <w:t>HRC</w:t>
      </w:r>
      <w:r>
        <w:rPr>
          <w:lang w:val="en-US"/>
        </w:rPr>
        <w:tab/>
      </w:r>
      <w:r w:rsidRPr="00F613BF">
        <w:rPr>
          <w:lang w:val="en-US"/>
        </w:rPr>
        <w:t>Hypothetical Reference Circuit</w:t>
      </w:r>
      <w:proofErr w:type="gramStart"/>
      <w:r w:rsidRPr="00F613BF">
        <w:rPr>
          <w:lang w:val="en-US"/>
        </w:rPr>
        <w:t>: ?</w:t>
      </w:r>
      <w:proofErr w:type="gramEnd"/>
    </w:p>
    <w:p w:rsidR="0057627C" w:rsidRPr="0057627C" w:rsidRDefault="0057627C" w:rsidP="0057627C">
      <w:pPr>
        <w:rPr>
          <w:rFonts w:eastAsia="Calibri"/>
          <w:color w:val="000000"/>
          <w:szCs w:val="24"/>
        </w:rPr>
      </w:pPr>
    </w:p>
    <w:p w:rsidR="0057627C" w:rsidRPr="0057627C" w:rsidRDefault="0057627C" w:rsidP="0057627C">
      <w:pPr>
        <w:rPr>
          <w:rFonts w:eastAsia="Calibri"/>
          <w:color w:val="000000"/>
          <w:szCs w:val="24"/>
          <w:u w:val="single"/>
        </w:rPr>
      </w:pPr>
      <w:r w:rsidRPr="0057627C">
        <w:rPr>
          <w:rFonts w:eastAsia="Calibri"/>
          <w:color w:val="000000"/>
          <w:szCs w:val="24"/>
          <w:u w:val="single"/>
        </w:rPr>
        <w:t>Modified text of clause 11.3, Post-screening of subjects:</w:t>
      </w:r>
    </w:p>
    <w:p w:rsidR="0057627C" w:rsidRDefault="0057627C" w:rsidP="0057627C">
      <w:pPr>
        <w:rPr>
          <w:lang w:val="en-US"/>
        </w:rPr>
      </w:pPr>
      <w:r>
        <w:rPr>
          <w:lang w:val="en-US"/>
        </w:rPr>
        <w:t xml:space="preserve">Post-screening of subjects is recommended. The following subject screening methods are appropriate: </w:t>
      </w:r>
      <w:r w:rsidRPr="00F613BF">
        <w:rPr>
          <w:highlight w:val="yellow"/>
          <w:lang w:val="en-US"/>
        </w:rPr>
        <w:t>Annex A,</w:t>
      </w:r>
      <w:r>
        <w:rPr>
          <w:lang w:val="en-US"/>
        </w:rPr>
        <w:t xml:space="preserve"> [ITU-R BT.500] clause 2.3, or [ITU-R BT.1788] clause 3. </w:t>
      </w:r>
    </w:p>
    <w:p w:rsidR="0057627C" w:rsidRPr="0057627C" w:rsidRDefault="0057627C" w:rsidP="0057627C">
      <w:pPr>
        <w:rPr>
          <w:rFonts w:eastAsia="Calibri"/>
          <w:color w:val="000000"/>
          <w:szCs w:val="24"/>
        </w:rPr>
      </w:pPr>
    </w:p>
    <w:p w:rsidR="0057627C" w:rsidRPr="0057627C" w:rsidRDefault="0057627C" w:rsidP="0057627C">
      <w:pPr>
        <w:rPr>
          <w:rFonts w:eastAsia="Calibri"/>
          <w:color w:val="000000"/>
          <w:szCs w:val="24"/>
        </w:rPr>
      </w:pPr>
      <w:r w:rsidRPr="00F031C1">
        <w:rPr>
          <w:u w:val="single"/>
          <w:lang w:val="en-US"/>
        </w:rPr>
        <w:t xml:space="preserve">New </w:t>
      </w:r>
      <w:r>
        <w:rPr>
          <w:u w:val="single"/>
          <w:lang w:val="en-US"/>
        </w:rPr>
        <w:t>Annex A</w:t>
      </w:r>
      <w:r w:rsidRPr="00F031C1">
        <w:rPr>
          <w:u w:val="single"/>
          <w:lang w:val="en-US"/>
        </w:rPr>
        <w:t>:</w:t>
      </w:r>
    </w:p>
    <w:p w:rsidR="0057627C" w:rsidRDefault="0057627C" w:rsidP="0057627C">
      <w:pPr>
        <w:pStyle w:val="AnnexNotitle"/>
        <w:pageBreakBefore/>
        <w:rPr>
          <w:lang w:val="en-US"/>
        </w:rPr>
      </w:pPr>
      <w:r>
        <w:rPr>
          <w:lang w:val="en-US"/>
        </w:rPr>
        <w:lastRenderedPageBreak/>
        <w:t xml:space="preserve">Annex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t>Method for Post-Experiment Screening of Subjects Using Pearson Linear Correlation</w:t>
      </w:r>
    </w:p>
    <w:p w:rsidR="0057627C" w:rsidRDefault="0057627C" w:rsidP="0057627C">
      <w:pPr>
        <w:jc w:val="center"/>
        <w:rPr>
          <w:lang w:val="en-US"/>
        </w:rPr>
      </w:pPr>
      <w:r>
        <w:rPr>
          <w:lang w:val="en-US"/>
        </w:rPr>
        <w:t>(This annex forms an integral part of this Recommendation.)</w:t>
      </w:r>
    </w:p>
    <w:p w:rsidR="0057627C" w:rsidRPr="00E25F68" w:rsidRDefault="0057627C" w:rsidP="0057627C">
      <w:pPr>
        <w:rPr>
          <w:lang w:val="en-US"/>
        </w:rPr>
      </w:pPr>
      <w:r w:rsidRPr="00E25F68">
        <w:rPr>
          <w:lang w:val="en-US"/>
        </w:rPr>
        <w:t xml:space="preserve">The rejection criterion verifies the level of consistency of the raw scores of one </w:t>
      </w:r>
      <w:r>
        <w:rPr>
          <w:lang w:val="en-US"/>
        </w:rPr>
        <w:t>subject</w:t>
      </w:r>
      <w:r w:rsidRPr="00E25F68">
        <w:rPr>
          <w:lang w:val="en-US"/>
        </w:rPr>
        <w:t xml:space="preserve"> according to the corresponding average raw scores over all </w:t>
      </w:r>
      <w:r>
        <w:rPr>
          <w:lang w:val="en-US"/>
        </w:rPr>
        <w:t>subjects</w:t>
      </w:r>
      <w:r w:rsidRPr="00E25F68">
        <w:rPr>
          <w:lang w:val="en-US"/>
        </w:rPr>
        <w:t xml:space="preserve">. Decision is made using correlation coefficient. </w:t>
      </w:r>
    </w:p>
    <w:p w:rsidR="0057627C" w:rsidRDefault="0057627C" w:rsidP="0057627C">
      <w:pPr>
        <w:rPr>
          <w:lang w:val="en-US"/>
        </w:rPr>
      </w:pPr>
      <w:r w:rsidRPr="00E25F68">
        <w:rPr>
          <w:lang w:val="en-US"/>
        </w:rPr>
        <w:t xml:space="preserve">Linear Pearson correlation coefficient </w:t>
      </w:r>
      <w:r>
        <w:rPr>
          <w:lang w:val="en-US"/>
        </w:rPr>
        <w:t>(LPCC) for one subject versus all subjects is calculated as:</w:t>
      </w:r>
    </w:p>
    <w:p w:rsidR="0057627C" w:rsidRPr="0057627C" w:rsidRDefault="0057627C" w:rsidP="0057627C">
      <w:pPr>
        <w:tabs>
          <w:tab w:val="clear" w:pos="794"/>
          <w:tab w:val="clear" w:pos="1191"/>
          <w:tab w:val="clear" w:pos="1588"/>
          <w:tab w:val="clear" w:pos="1985"/>
          <w:tab w:val="center" w:pos="5040"/>
          <w:tab w:val="center" w:pos="9360"/>
        </w:tabs>
        <w:rPr>
          <w:rFonts w:eastAsia="Calibri"/>
          <w:color w:val="000000"/>
          <w:szCs w:val="24"/>
        </w:rPr>
      </w:pPr>
      <w:r>
        <w:rPr>
          <w:color w:val="000000"/>
          <w:szCs w:val="24"/>
        </w:rPr>
        <w:tab/>
      </w:r>
      <m:oMath>
        <m:r>
          <w:rPr>
            <w:rFonts w:ascii="Cambria Math" w:eastAsia="Calibri" w:hAnsi="Cambria Math"/>
            <w:color w:val="000000"/>
            <w:szCs w:val="24"/>
          </w:rPr>
          <m:t>LPCC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Cs w:val="24"/>
              </w:rPr>
              <m:t>x,y</m:t>
            </m:r>
          </m:e>
        </m:d>
        <m:r>
          <w:rPr>
            <w:rFonts w:ascii="Cambria Math" w:eastAsia="Calibri" w:hAnsi="Cambria Math"/>
            <w:color w:val="000000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color w:val="000000"/>
                    <w:szCs w:val="24"/>
                  </w:rPr>
                </m:ctrlPr>
              </m:naryPr>
              <m:sub>
                <m:r>
                  <w:rPr>
                    <w:rFonts w:ascii="Cambria Math" w:eastAsia="Calibri" w:hAnsi="Cambria Math"/>
                    <w:color w:val="000000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color w:val="000000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Calibri" w:hAnsi="Cambria Math"/>
                <w:color w:val="000000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="Calibri" w:hAnsi="Cambria Math"/>
                    <w:color w:val="000000"/>
                    <w:szCs w:val="24"/>
                  </w:rPr>
                  <m:t>n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color w:val="000000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Cs w:val="24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Cs w:val="24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Calibri" w:hAnsi="Cambria Math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eastAsia="Calibri" w:hAnsi="Cambria Math"/>
                        <w:color w:val="00000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Cs w:val="24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color w:val="000000"/>
                                        <w:szCs w:val="24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color w:val="000000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libri" w:hAnsi="Cambria Math"/>
                            <w:color w:val="000000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</m:rad>
          </m:den>
        </m:f>
      </m:oMath>
      <w:r w:rsidRPr="0057627C">
        <w:rPr>
          <w:color w:val="000000"/>
          <w:szCs w:val="24"/>
        </w:rPr>
        <w:tab/>
        <w:t>(A1)</w:t>
      </w:r>
    </w:p>
    <w:p w:rsidR="0057627C" w:rsidRPr="00142172" w:rsidRDefault="0057627C" w:rsidP="0057627C">
      <w:pPr>
        <w:pStyle w:val="Paragraphe"/>
        <w:ind w:left="360" w:hanging="360"/>
        <w:jc w:val="left"/>
      </w:pPr>
      <w:r>
        <w:t xml:space="preserve">Where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are arrays of data and </w:t>
      </w:r>
      <w:r>
        <w:rPr>
          <w:i/>
        </w:rPr>
        <w:t>n</w:t>
      </w:r>
      <w:r>
        <w:t xml:space="preserve"> is the number of data points.</w:t>
      </w:r>
    </w:p>
    <w:p w:rsidR="0057627C" w:rsidRDefault="0057627C" w:rsidP="0057627C">
      <w:pPr>
        <w:pStyle w:val="Paragraphe"/>
        <w:ind w:left="360" w:hanging="360"/>
        <w:jc w:val="left"/>
      </w:pPr>
    </w:p>
    <w:p w:rsidR="0057627C" w:rsidRDefault="0057627C" w:rsidP="0057627C">
      <w:pPr>
        <w:pStyle w:val="Paragraphe"/>
        <w:ind w:left="360" w:hanging="360"/>
        <w:jc w:val="left"/>
      </w:pPr>
      <w:r>
        <w:t>To calculate LPCC on individual stimuli (i.e., p</w:t>
      </w:r>
      <w:r w:rsidRPr="00E25F68">
        <w:t>er PVS</w:t>
      </w:r>
      <w:r>
        <w:t xml:space="preserve">), compute </w:t>
      </w:r>
    </w:p>
    <w:p w:rsidR="0057627C" w:rsidRPr="0057627C" w:rsidRDefault="0057627C" w:rsidP="0057627C">
      <w:pPr>
        <w:tabs>
          <w:tab w:val="clear" w:pos="794"/>
          <w:tab w:val="clear" w:pos="1191"/>
          <w:tab w:val="clear" w:pos="1588"/>
          <w:tab w:val="clear" w:pos="1985"/>
          <w:tab w:val="center" w:pos="5040"/>
          <w:tab w:val="center" w:pos="9360"/>
        </w:tabs>
        <w:rPr>
          <w:rFonts w:eastAsia="Calibri"/>
          <w:color w:val="000000"/>
          <w:szCs w:val="24"/>
        </w:rPr>
      </w:pPr>
      <w:r>
        <w:rPr>
          <w:color w:val="000000"/>
          <w:szCs w:val="24"/>
        </w:rPr>
        <w:tab/>
      </w:r>
      <m:oMath>
        <m:r>
          <w:rPr>
            <w:rFonts w:ascii="Cambria Math" w:hAnsi="Cambria Math"/>
            <w:color w:val="000000"/>
            <w:szCs w:val="24"/>
          </w:rPr>
          <m:t>r1</m:t>
        </m:r>
        <m:d>
          <m:d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Cs w:val="24"/>
              </w:rPr>
              <m:t>x,y</m:t>
            </m:r>
          </m:e>
        </m:d>
        <m:r>
          <w:rPr>
            <w:rFonts w:ascii="Cambria Math" w:eastAsia="Calibri" w:hAnsi="Cambria Math"/>
            <w:color w:val="000000"/>
            <w:szCs w:val="24"/>
          </w:rPr>
          <m:t>=LPCC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Cs w:val="24"/>
              </w:rPr>
              <m:t>x,y</m:t>
            </m:r>
          </m:e>
        </m:d>
      </m:oMath>
      <w:r w:rsidRPr="0057627C">
        <w:rPr>
          <w:color w:val="000000"/>
          <w:szCs w:val="24"/>
        </w:rPr>
        <w:tab/>
        <w:t>(A2)</w:t>
      </w:r>
    </w:p>
    <w:p w:rsidR="0057627C" w:rsidRPr="00E4523C" w:rsidRDefault="0057627C" w:rsidP="0057627C">
      <w:pPr>
        <w:pStyle w:val="Paragraphe"/>
        <w:jc w:val="left"/>
      </w:pPr>
      <w:r w:rsidRPr="00E4523C">
        <w:t>Where</w:t>
      </w:r>
    </w:p>
    <w:p w:rsidR="0057627C" w:rsidRDefault="0057627C" w:rsidP="0057627C">
      <w:pPr>
        <w:pStyle w:val="Paragraphe"/>
        <w:ind w:left="720" w:hanging="360"/>
        <w:jc w:val="left"/>
      </w:pPr>
      <w:proofErr w:type="gramStart"/>
      <w:r w:rsidRPr="00E25F68">
        <w:rPr>
          <w:i/>
        </w:rPr>
        <w:t>x</w:t>
      </w:r>
      <w:r w:rsidRPr="00E25F68">
        <w:rPr>
          <w:i/>
          <w:vertAlign w:val="subscript"/>
        </w:rPr>
        <w:t>i</w:t>
      </w:r>
      <w:proofErr w:type="gramEnd"/>
      <w:r>
        <w:t xml:space="preserve"> = MOS of all subjects per PVS</w:t>
      </w:r>
    </w:p>
    <w:p w:rsidR="0057627C" w:rsidRDefault="0057627C" w:rsidP="0057627C">
      <w:pPr>
        <w:pStyle w:val="Paragraphe"/>
        <w:ind w:left="720" w:hanging="360"/>
        <w:jc w:val="left"/>
      </w:pPr>
      <w:proofErr w:type="spellStart"/>
      <w:proofErr w:type="gramStart"/>
      <w:r w:rsidRPr="00E25F68">
        <w:rPr>
          <w:i/>
        </w:rPr>
        <w:t>y</w:t>
      </w:r>
      <w:r w:rsidRPr="00E25F68">
        <w:rPr>
          <w:i/>
          <w:vertAlign w:val="subscript"/>
        </w:rPr>
        <w:t>i</w:t>
      </w:r>
      <w:proofErr w:type="spellEnd"/>
      <w:proofErr w:type="gramEnd"/>
      <w:r>
        <w:t xml:space="preserve"> = individual score of one subject for the corresponding PVS</w:t>
      </w:r>
    </w:p>
    <w:p w:rsidR="0057627C" w:rsidRDefault="0057627C" w:rsidP="0057627C">
      <w:pPr>
        <w:pStyle w:val="Paragraphe"/>
        <w:ind w:left="720" w:hanging="360"/>
        <w:jc w:val="left"/>
      </w:pPr>
      <w:r w:rsidRPr="00E25F68">
        <w:rPr>
          <w:i/>
        </w:rPr>
        <w:t>n</w:t>
      </w:r>
      <w:r>
        <w:t xml:space="preserve"> = number of PVSs</w:t>
      </w:r>
    </w:p>
    <w:p w:rsidR="0057627C" w:rsidRDefault="0057627C" w:rsidP="0057627C">
      <w:pPr>
        <w:pStyle w:val="Paragraphe"/>
        <w:ind w:left="720" w:hanging="360"/>
        <w:jc w:val="left"/>
      </w:pPr>
      <w:proofErr w:type="spellStart"/>
      <w:r w:rsidRPr="00E25F68">
        <w:rPr>
          <w:i/>
        </w:rPr>
        <w:t>i</w:t>
      </w:r>
      <w:proofErr w:type="spellEnd"/>
      <w:r>
        <w:t xml:space="preserve"> = PVS index</w:t>
      </w:r>
    </w:p>
    <w:p w:rsidR="0057627C" w:rsidRDefault="0057627C" w:rsidP="0057627C">
      <w:pPr>
        <w:pStyle w:val="Paragraphe"/>
        <w:ind w:left="360" w:hanging="360"/>
        <w:jc w:val="left"/>
      </w:pPr>
    </w:p>
    <w:p w:rsidR="0057627C" w:rsidRDefault="0057627C" w:rsidP="0057627C">
      <w:pPr>
        <w:pStyle w:val="Paragraphe"/>
        <w:ind w:left="360" w:hanging="360"/>
        <w:jc w:val="left"/>
      </w:pPr>
      <w:r>
        <w:t>To calculate LPCC on systems (i.e., p</w:t>
      </w:r>
      <w:r w:rsidRPr="00E25F68">
        <w:t xml:space="preserve">er </w:t>
      </w:r>
      <w:r>
        <w:t>HRC), compute</w:t>
      </w:r>
    </w:p>
    <w:p w:rsidR="0057627C" w:rsidRPr="0057627C" w:rsidRDefault="0057627C" w:rsidP="0057627C">
      <w:pPr>
        <w:tabs>
          <w:tab w:val="clear" w:pos="794"/>
          <w:tab w:val="clear" w:pos="1191"/>
          <w:tab w:val="clear" w:pos="1588"/>
          <w:tab w:val="clear" w:pos="1985"/>
          <w:tab w:val="center" w:pos="5040"/>
          <w:tab w:val="center" w:pos="9360"/>
        </w:tabs>
        <w:rPr>
          <w:rFonts w:eastAsia="Calibri"/>
          <w:color w:val="000000"/>
          <w:szCs w:val="24"/>
        </w:rPr>
      </w:pPr>
      <w:r>
        <w:rPr>
          <w:color w:val="000000"/>
          <w:szCs w:val="24"/>
        </w:rPr>
        <w:tab/>
      </w:r>
      <m:oMath>
        <m:r>
          <w:rPr>
            <w:rFonts w:ascii="Cambria Math" w:hAnsi="Cambria Math"/>
            <w:color w:val="000000"/>
            <w:szCs w:val="24"/>
          </w:rPr>
          <m:t>r2</m:t>
        </m:r>
        <m:d>
          <m:d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Cs w:val="24"/>
              </w:rPr>
              <m:t>x,y</m:t>
            </m:r>
          </m:e>
        </m:d>
        <m:r>
          <w:rPr>
            <w:rFonts w:ascii="Cambria Math" w:eastAsia="Calibri" w:hAnsi="Cambria Math"/>
            <w:color w:val="000000"/>
            <w:szCs w:val="24"/>
          </w:rPr>
          <m:t>=LPCC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Cs w:val="24"/>
              </w:rPr>
              <m:t>x,y</m:t>
            </m:r>
          </m:e>
        </m:d>
      </m:oMath>
      <w:r w:rsidRPr="0057627C">
        <w:rPr>
          <w:color w:val="000000"/>
          <w:szCs w:val="24"/>
        </w:rPr>
        <w:tab/>
        <w:t>(A3)</w:t>
      </w:r>
    </w:p>
    <w:p w:rsidR="0057627C" w:rsidRPr="00E4523C" w:rsidRDefault="0057627C" w:rsidP="0057627C">
      <w:pPr>
        <w:pStyle w:val="Paragraphe"/>
        <w:jc w:val="left"/>
      </w:pPr>
      <w:r w:rsidRPr="00E4523C">
        <w:t>Where</w:t>
      </w:r>
    </w:p>
    <w:p w:rsidR="0057627C" w:rsidRDefault="0057627C" w:rsidP="0057627C">
      <w:pPr>
        <w:pStyle w:val="Paragraphe"/>
        <w:ind w:left="720" w:hanging="360"/>
        <w:jc w:val="left"/>
      </w:pPr>
      <w:proofErr w:type="gramStart"/>
      <w:r w:rsidRPr="00E25F68">
        <w:rPr>
          <w:i/>
        </w:rPr>
        <w:t>x</w:t>
      </w:r>
      <w:r w:rsidRPr="00E25F68">
        <w:rPr>
          <w:i/>
          <w:vertAlign w:val="subscript"/>
        </w:rPr>
        <w:t>i</w:t>
      </w:r>
      <w:proofErr w:type="gramEnd"/>
      <w:r>
        <w:t xml:space="preserve"> = condition MOS of all subjects per HRC (i.e. condition MOS is the average value across all PVSs from the same HRC)</w:t>
      </w:r>
    </w:p>
    <w:p w:rsidR="0057627C" w:rsidRDefault="0057627C" w:rsidP="0057627C">
      <w:pPr>
        <w:pStyle w:val="Paragraphe"/>
        <w:ind w:left="720" w:hanging="360"/>
        <w:jc w:val="left"/>
      </w:pPr>
      <w:proofErr w:type="spellStart"/>
      <w:proofErr w:type="gramStart"/>
      <w:r w:rsidRPr="00E25F68">
        <w:rPr>
          <w:i/>
        </w:rPr>
        <w:t>y</w:t>
      </w:r>
      <w:r w:rsidRPr="00E25F68">
        <w:rPr>
          <w:i/>
          <w:vertAlign w:val="subscript"/>
        </w:rPr>
        <w:t>i</w:t>
      </w:r>
      <w:proofErr w:type="spellEnd"/>
      <w:proofErr w:type="gramEnd"/>
      <w:r>
        <w:t xml:space="preserve"> = individual condition MOS of one subject for the corresponding HRC</w:t>
      </w:r>
    </w:p>
    <w:p w:rsidR="0057627C" w:rsidRDefault="0057627C" w:rsidP="0057627C">
      <w:pPr>
        <w:pStyle w:val="Paragraphe"/>
        <w:ind w:left="720" w:hanging="360"/>
        <w:jc w:val="left"/>
      </w:pPr>
      <w:r w:rsidRPr="00E25F68">
        <w:rPr>
          <w:i/>
        </w:rPr>
        <w:t>n</w:t>
      </w:r>
      <w:r>
        <w:t xml:space="preserve"> = number of HRCs</w:t>
      </w:r>
    </w:p>
    <w:p w:rsidR="0057627C" w:rsidRDefault="0057627C" w:rsidP="0057627C">
      <w:pPr>
        <w:pStyle w:val="Paragraphe"/>
        <w:ind w:left="720" w:hanging="360"/>
        <w:jc w:val="left"/>
      </w:pPr>
      <w:proofErr w:type="spellStart"/>
      <w:r w:rsidRPr="00E25F68">
        <w:rPr>
          <w:i/>
        </w:rPr>
        <w:t>i</w:t>
      </w:r>
      <w:proofErr w:type="spellEnd"/>
      <w:r>
        <w:t xml:space="preserve"> = HRC index</w:t>
      </w:r>
    </w:p>
    <w:p w:rsidR="0057627C" w:rsidRDefault="0057627C" w:rsidP="0057627C">
      <w:pPr>
        <w:pStyle w:val="Paragraphe"/>
        <w:ind w:left="360" w:hanging="360"/>
        <w:jc w:val="left"/>
      </w:pPr>
    </w:p>
    <w:p w:rsidR="0057627C" w:rsidRDefault="0057627C" w:rsidP="0057627C">
      <w:pPr>
        <w:pStyle w:val="Paragraphe"/>
        <w:ind w:left="360" w:hanging="360"/>
        <w:jc w:val="left"/>
      </w:pPr>
      <w:r>
        <w:t>One of the following two rejection criteria may be used.</w:t>
      </w:r>
    </w:p>
    <w:p w:rsidR="0057627C" w:rsidRPr="00EA76EC" w:rsidRDefault="0057627C" w:rsidP="0057627C">
      <w:pPr>
        <w:rPr>
          <w:b/>
          <w:lang w:val="en-US"/>
        </w:rPr>
      </w:pPr>
      <w:r>
        <w:rPr>
          <w:b/>
          <w:lang w:val="en-US"/>
        </w:rPr>
        <w:t>A.</w:t>
      </w:r>
      <w:r w:rsidRPr="00EA76EC">
        <w:rPr>
          <w:b/>
          <w:lang w:val="en-US"/>
        </w:rPr>
        <w:t>1</w:t>
      </w:r>
      <w:r w:rsidRPr="00EA76EC">
        <w:rPr>
          <w:b/>
          <w:lang w:val="en-US"/>
        </w:rPr>
        <w:tab/>
      </w:r>
      <w:r>
        <w:rPr>
          <w:b/>
          <w:lang w:val="en-US"/>
        </w:rPr>
        <w:t>Screen by PVS</w:t>
      </w:r>
    </w:p>
    <w:p w:rsidR="0057627C" w:rsidRDefault="0057627C" w:rsidP="0057627C">
      <w:pPr>
        <w:rPr>
          <w:lang w:val="en-US"/>
        </w:rPr>
      </w:pPr>
      <w:r>
        <w:rPr>
          <w:lang w:val="en-US"/>
        </w:rPr>
        <w:t xml:space="preserve">Screening analysis is performed per PVS only, using Equation (A2). Subjects are rejected if </w:t>
      </w:r>
      <w:r>
        <w:rPr>
          <w:i/>
          <w:lang w:val="en-US"/>
        </w:rPr>
        <w:t>r1</w:t>
      </w:r>
      <w:r>
        <w:rPr>
          <w:lang w:val="en-US"/>
        </w:rPr>
        <w:t xml:space="preserve"> falls below a set threshold. A discard threshold of (</w:t>
      </w:r>
      <w:r w:rsidRPr="00E4523C">
        <w:rPr>
          <w:i/>
          <w:lang w:val="en-US"/>
        </w:rPr>
        <w:t>r1</w:t>
      </w:r>
      <w:r>
        <w:rPr>
          <w:lang w:val="en-US"/>
        </w:rPr>
        <w:t xml:space="preserve"> &lt; 0.75) is recommended for ACR and ACR-HR tests of entertainment video. </w:t>
      </w:r>
    </w:p>
    <w:p w:rsidR="0057627C" w:rsidRPr="00E4523C" w:rsidRDefault="0057627C" w:rsidP="0057627C">
      <w:pPr>
        <w:rPr>
          <w:lang w:val="en-US"/>
        </w:rPr>
      </w:pPr>
      <w:r>
        <w:rPr>
          <w:lang w:val="en-US"/>
        </w:rPr>
        <w:t>Different thresholds may be needed depending upon the method, technology or application.</w:t>
      </w:r>
    </w:p>
    <w:p w:rsidR="0057627C" w:rsidRDefault="0057627C" w:rsidP="0057627C">
      <w:pPr>
        <w:pStyle w:val="Paragraphe"/>
        <w:ind w:left="360" w:hanging="360"/>
        <w:jc w:val="left"/>
      </w:pPr>
    </w:p>
    <w:p w:rsidR="0057627C" w:rsidRPr="00EA76EC" w:rsidRDefault="0057627C" w:rsidP="0057627C">
      <w:pPr>
        <w:rPr>
          <w:b/>
          <w:lang w:val="en-US"/>
        </w:rPr>
      </w:pPr>
      <w:r>
        <w:rPr>
          <w:b/>
          <w:lang w:val="en-US"/>
        </w:rPr>
        <w:lastRenderedPageBreak/>
        <w:t>A.2</w:t>
      </w:r>
      <w:r w:rsidRPr="00EA76EC">
        <w:rPr>
          <w:b/>
          <w:lang w:val="en-US"/>
        </w:rPr>
        <w:tab/>
      </w:r>
      <w:r>
        <w:rPr>
          <w:b/>
          <w:lang w:val="en-US"/>
        </w:rPr>
        <w:t>Screen by PVS and HRC</w:t>
      </w:r>
    </w:p>
    <w:p w:rsidR="0057627C" w:rsidRPr="00F613BF" w:rsidRDefault="0057627C" w:rsidP="0057627C">
      <w:pPr>
        <w:rPr>
          <w:lang w:val="en-US"/>
        </w:rPr>
      </w:pPr>
      <w:r>
        <w:rPr>
          <w:lang w:val="en-US"/>
        </w:rPr>
        <w:t xml:space="preserve">Screening analysis is performed per PVS and per HRC, using Equations (A2) and (A3). Subjects are rejected if </w:t>
      </w:r>
      <w:r>
        <w:rPr>
          <w:i/>
          <w:lang w:val="en-US"/>
        </w:rPr>
        <w:t>r1</w:t>
      </w:r>
      <w:r>
        <w:rPr>
          <w:lang w:val="en-US"/>
        </w:rPr>
        <w:t xml:space="preserve"> or </w:t>
      </w:r>
      <w:r w:rsidRPr="00E4523C">
        <w:rPr>
          <w:i/>
          <w:lang w:val="en-US"/>
        </w:rPr>
        <w:t>r2</w:t>
      </w:r>
      <w:r>
        <w:rPr>
          <w:lang w:val="en-US"/>
        </w:rPr>
        <w:t xml:space="preserve"> </w:t>
      </w:r>
      <w:r w:rsidRPr="00E4523C">
        <w:rPr>
          <w:lang w:val="en-US"/>
        </w:rPr>
        <w:t>fall</w:t>
      </w:r>
      <w:r>
        <w:rPr>
          <w:lang w:val="en-US"/>
        </w:rPr>
        <w:t xml:space="preserve"> below set thresholds. For ACR and ACR-HR tests of entertainment video, a subject should be discarded if (</w:t>
      </w:r>
      <w:r w:rsidRPr="00E4523C">
        <w:rPr>
          <w:i/>
          <w:lang w:val="en-US"/>
        </w:rPr>
        <w:t>r1</w:t>
      </w:r>
      <w:r>
        <w:rPr>
          <w:lang w:val="en-US"/>
        </w:rPr>
        <w:t xml:space="preserve"> &lt; 0.75 and </w:t>
      </w:r>
      <w:r w:rsidRPr="00E4523C">
        <w:rPr>
          <w:i/>
          <w:lang w:val="en-US"/>
        </w:rPr>
        <w:t>r2</w:t>
      </w:r>
      <w:r>
        <w:rPr>
          <w:lang w:val="en-US"/>
        </w:rPr>
        <w:t xml:space="preserve"> &lt; 0.8). Both </w:t>
      </w:r>
      <w:r>
        <w:rPr>
          <w:i/>
          <w:lang w:val="en-US"/>
        </w:rPr>
        <w:t>r1</w:t>
      </w:r>
      <w:r>
        <w:rPr>
          <w:lang w:val="en-US"/>
        </w:rPr>
        <w:t xml:space="preserve"> and </w:t>
      </w:r>
      <w:r>
        <w:rPr>
          <w:i/>
          <w:lang w:val="en-US"/>
        </w:rPr>
        <w:t>r2</w:t>
      </w:r>
      <w:r>
        <w:rPr>
          <w:lang w:val="en-US"/>
        </w:rPr>
        <w:t xml:space="preserve"> must fall below separate thresholds before a subject is discarded. </w:t>
      </w:r>
    </w:p>
    <w:p w:rsidR="0057627C" w:rsidRDefault="0057627C" w:rsidP="0057627C">
      <w:pPr>
        <w:rPr>
          <w:lang w:val="en-US"/>
        </w:rPr>
      </w:pPr>
      <w:r>
        <w:rPr>
          <w:lang w:val="en-US"/>
        </w:rPr>
        <w:t>Different thresholds may be needed depending upon the method, technology or application.</w:t>
      </w:r>
    </w:p>
    <w:p w:rsidR="0057627C" w:rsidRPr="00E4523C" w:rsidRDefault="0057627C" w:rsidP="0057627C">
      <w:pPr>
        <w:rPr>
          <w:lang w:val="en-US"/>
        </w:rPr>
      </w:pPr>
      <w:r w:rsidRPr="00E4523C">
        <w:rPr>
          <w:lang w:val="en-US"/>
        </w:rPr>
        <w:t>The reason for using analysis per HRC</w:t>
      </w:r>
      <w:r>
        <w:rPr>
          <w:lang w:val="en-US"/>
        </w:rPr>
        <w:t xml:space="preserve"> using </w:t>
      </w:r>
      <w:r w:rsidRPr="00E4523C">
        <w:rPr>
          <w:i/>
          <w:lang w:val="en-US"/>
        </w:rPr>
        <w:t>r2</w:t>
      </w:r>
      <w:r w:rsidRPr="00E4523C">
        <w:rPr>
          <w:lang w:val="en-US"/>
        </w:rPr>
        <w:t xml:space="preserve"> is that a subject can have an individual content preference that is different from other </w:t>
      </w:r>
      <w:r>
        <w:rPr>
          <w:lang w:val="en-US"/>
        </w:rPr>
        <w:t>subjects. This preference will cause</w:t>
      </w:r>
      <w:r w:rsidRPr="00E4523C">
        <w:rPr>
          <w:lang w:val="en-US"/>
        </w:rPr>
        <w:t xml:space="preserve"> </w:t>
      </w:r>
      <w:r w:rsidRPr="00E4523C">
        <w:rPr>
          <w:i/>
          <w:lang w:val="en-US"/>
        </w:rPr>
        <w:t>r1</w:t>
      </w:r>
      <w:r w:rsidRPr="00E4523C">
        <w:rPr>
          <w:lang w:val="en-US"/>
        </w:rPr>
        <w:t xml:space="preserve"> to decrease, although this subject may have voted consistently. Analysis per HRC averages out individual’s content preference and check consistency across error conditions.</w:t>
      </w:r>
    </w:p>
    <w:p w:rsidR="0057627C" w:rsidRDefault="0057627C" w:rsidP="0057627C">
      <w:pPr>
        <w:jc w:val="center"/>
      </w:pPr>
      <w:r>
        <w:t>_________________</w:t>
      </w:r>
    </w:p>
    <w:p w:rsidR="00762E0E" w:rsidRDefault="00762E0E"/>
    <w:sectPr w:rsidR="00762E0E">
      <w:headerReference w:type="default" r:id="rId8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0E" w:rsidRDefault="00762E0E">
      <w:r>
        <w:separator/>
      </w:r>
    </w:p>
  </w:endnote>
  <w:endnote w:type="continuationSeparator" w:id="0">
    <w:p w:rsidR="00762E0E" w:rsidRDefault="007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0E" w:rsidRDefault="00762E0E">
      <w:r>
        <w:separator/>
      </w:r>
    </w:p>
  </w:footnote>
  <w:footnote w:type="continuationSeparator" w:id="0">
    <w:p w:rsidR="00762E0E" w:rsidRDefault="0076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0E" w:rsidRDefault="00762E0E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F400E">
      <w:rPr>
        <w:noProof/>
      </w:rPr>
      <w:t>1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57627C"/>
    <w:rsid w:val="005D02FE"/>
    <w:rsid w:val="00762E0E"/>
    <w:rsid w:val="00AF0ADB"/>
    <w:rsid w:val="00DC3318"/>
    <w:rsid w:val="00E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Paragraphe">
    <w:name w:val="Paragraphe"/>
    <w:basedOn w:val="Normal"/>
    <w:rsid w:val="005762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rsid w:val="00EF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00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Paragraphe">
    <w:name w:val="Paragraphe"/>
    <w:basedOn w:val="Normal"/>
    <w:rsid w:val="005762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rsid w:val="00EF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00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33</TotalTime>
  <Pages>3</Pages>
  <Words>609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5</cp:revision>
  <cp:lastPrinted>2002-08-01T14:30:00Z</cp:lastPrinted>
  <dcterms:created xsi:type="dcterms:W3CDTF">2013-06-17T22:20:00Z</dcterms:created>
  <dcterms:modified xsi:type="dcterms:W3CDTF">2013-06-17T22:53:00Z</dcterms:modified>
</cp:coreProperties>
</file>