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C59" w:rsidRDefault="00E63C59" w:rsidP="00AF2242"/>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C71AF5" w:rsidP="00C71AF5">
            <w:pPr>
              <w:shd w:val="solid" w:color="FFFFFF" w:fill="FFFFFF"/>
              <w:spacing w:before="0" w:line="240" w:lineRule="atLeast"/>
            </w:pPr>
            <w:bookmarkStart w:id="0" w:name="ditulogo"/>
            <w:bookmarkEnd w:id="0"/>
            <w:r>
              <w:rPr>
                <w:noProof/>
                <w:lang w:val="en-US" w:eastAsia="zh-CN"/>
              </w:rPr>
              <w:drawing>
                <wp:inline distT="0" distB="0" distL="0" distR="0" wp14:anchorId="5BCF7DC6" wp14:editId="4218F7AF">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C71AF5" w:rsidRPr="00982084" w:rsidRDefault="00927725" w:rsidP="00C71AF5">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Source: Document 6C/TEMP/205</w:t>
            </w:r>
          </w:p>
        </w:tc>
        <w:tc>
          <w:tcPr>
            <w:tcW w:w="3451" w:type="dxa"/>
          </w:tcPr>
          <w:p w:rsidR="00C71AF5" w:rsidRPr="00C71AF5" w:rsidRDefault="00C71AF5" w:rsidP="002068FA">
            <w:pPr>
              <w:shd w:val="solid" w:color="FFFFFF" w:fill="FFFFFF"/>
              <w:spacing w:before="0" w:line="240" w:lineRule="atLeast"/>
              <w:rPr>
                <w:rFonts w:ascii="Verdana" w:hAnsi="Verdana"/>
                <w:sz w:val="20"/>
                <w:lang w:eastAsia="ko-KR"/>
              </w:rPr>
            </w:pP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C71AF5" w:rsidRDefault="00927725" w:rsidP="00AF2242">
            <w:pPr>
              <w:shd w:val="solid" w:color="FFFFFF" w:fill="FFFFFF"/>
              <w:spacing w:before="0" w:line="240" w:lineRule="atLeast"/>
              <w:rPr>
                <w:rFonts w:ascii="Verdana" w:hAnsi="Verdana"/>
                <w:sz w:val="20"/>
                <w:lang w:eastAsia="ko-KR"/>
              </w:rPr>
            </w:pPr>
            <w:r>
              <w:rPr>
                <w:rFonts w:ascii="Verdana" w:hAnsi="Verdana"/>
                <w:b/>
                <w:sz w:val="20"/>
                <w:lang w:eastAsia="ko-KR"/>
              </w:rPr>
              <w:t>2 Dec</w:t>
            </w:r>
            <w:r w:rsidR="003A1A56">
              <w:rPr>
                <w:rFonts w:ascii="Verdana" w:hAnsi="Verdana" w:hint="eastAsia"/>
                <w:b/>
                <w:sz w:val="20"/>
                <w:lang w:eastAsia="ko-KR"/>
              </w:rPr>
              <w:t>ember</w:t>
            </w:r>
            <w:r w:rsidR="00ED3672">
              <w:rPr>
                <w:rFonts w:ascii="Verdana" w:hAnsi="Verdana"/>
                <w:b/>
                <w:sz w:val="20"/>
                <w:lang w:eastAsia="zh-CN"/>
              </w:rPr>
              <w:t xml:space="preserve"> 201</w:t>
            </w:r>
            <w:r w:rsidR="006A734B">
              <w:rPr>
                <w:rFonts w:ascii="Verdana" w:hAnsi="Verdana" w:hint="eastAsia"/>
                <w:b/>
                <w:sz w:val="20"/>
                <w:lang w:eastAsia="ko-KR"/>
              </w:rPr>
              <w:t>4</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C71AF5" w:rsidRDefault="00C71AF5"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363B0E" w:rsidP="00283E4D">
            <w:pPr>
              <w:pStyle w:val="Source"/>
              <w:rPr>
                <w:lang w:eastAsia="zh-CN"/>
              </w:rPr>
            </w:pPr>
            <w:bookmarkStart w:id="5" w:name="dsource" w:colFirst="0" w:colLast="0"/>
            <w:bookmarkEnd w:id="4"/>
            <w:r>
              <w:rPr>
                <w:lang w:val="en-US"/>
              </w:rPr>
              <w:t>Working Party 6C</w:t>
            </w:r>
          </w:p>
        </w:tc>
      </w:tr>
      <w:tr w:rsidR="000069D4">
        <w:trPr>
          <w:cantSplit/>
        </w:trPr>
        <w:tc>
          <w:tcPr>
            <w:tcW w:w="10031" w:type="dxa"/>
            <w:gridSpan w:val="2"/>
          </w:tcPr>
          <w:p w:rsidR="000069D4" w:rsidRDefault="00AF2242" w:rsidP="0039799E">
            <w:pPr>
              <w:pStyle w:val="Title1"/>
              <w:jc w:val="left"/>
              <w:rPr>
                <w:lang w:eastAsia="zh-CN"/>
              </w:rPr>
            </w:pPr>
            <w:bookmarkStart w:id="6" w:name="drec" w:colFirst="0" w:colLast="0"/>
            <w:bookmarkEnd w:id="5"/>
            <w:r w:rsidRPr="00EE0EAF">
              <w:rPr>
                <w:rFonts w:eastAsia="Malgun Gothic"/>
                <w:lang w:eastAsia="ko-KR"/>
              </w:rPr>
              <w:t xml:space="preserve">Liaison statement </w:t>
            </w:r>
            <w:r>
              <w:rPr>
                <w:rFonts w:eastAsia="Malgun Gothic"/>
                <w:lang w:eastAsia="ko-KR"/>
              </w:rPr>
              <w:t xml:space="preserve">to </w:t>
            </w:r>
            <w:r>
              <w:rPr>
                <w:rFonts w:eastAsia="Malgun Gothic" w:hint="eastAsia"/>
                <w:lang w:eastAsia="ko-KR"/>
              </w:rPr>
              <w:t>ITU-T SG</w:t>
            </w:r>
            <w:r>
              <w:rPr>
                <w:rFonts w:eastAsia="Malgun Gothic"/>
                <w:lang w:eastAsia="ko-KR"/>
              </w:rPr>
              <w:t xml:space="preserve"> </w:t>
            </w:r>
            <w:r>
              <w:rPr>
                <w:rFonts w:eastAsia="Malgun Gothic" w:hint="eastAsia"/>
                <w:lang w:eastAsia="ko-KR"/>
              </w:rPr>
              <w:t>9, ITU-T SG</w:t>
            </w:r>
            <w:r>
              <w:rPr>
                <w:rFonts w:eastAsia="Malgun Gothic"/>
                <w:lang w:eastAsia="ko-KR"/>
              </w:rPr>
              <w:t xml:space="preserve"> </w:t>
            </w:r>
            <w:r>
              <w:rPr>
                <w:rFonts w:eastAsia="Malgun Gothic" w:hint="eastAsia"/>
                <w:lang w:eastAsia="ko-KR"/>
              </w:rPr>
              <w:t xml:space="preserve">12 and VQEG on a new Rapporteur Group </w:t>
            </w:r>
            <w:r w:rsidRPr="00BB3ECE">
              <w:t>to study methods to assess, measure and specify “Quality of Experience” in television broadcasting</w:t>
            </w:r>
          </w:p>
        </w:tc>
      </w:tr>
      <w:tr w:rsidR="000069D4">
        <w:trPr>
          <w:cantSplit/>
        </w:trPr>
        <w:tc>
          <w:tcPr>
            <w:tcW w:w="10031" w:type="dxa"/>
            <w:gridSpan w:val="2"/>
          </w:tcPr>
          <w:p w:rsidR="000069D4" w:rsidRDefault="000069D4" w:rsidP="00F10806">
            <w:pPr>
              <w:pStyle w:val="Title1"/>
              <w:spacing w:before="120"/>
              <w:rPr>
                <w:lang w:eastAsia="ko-KR"/>
              </w:rPr>
            </w:pPr>
            <w:bookmarkStart w:id="7" w:name="dtitle1" w:colFirst="0" w:colLast="0"/>
            <w:bookmarkEnd w:id="6"/>
          </w:p>
        </w:tc>
      </w:tr>
    </w:tbl>
    <w:p w:rsidR="00DF09DD" w:rsidRDefault="003A1A56" w:rsidP="00B5180E">
      <w:pPr>
        <w:rPr>
          <w:lang w:eastAsia="ko-KR"/>
        </w:rPr>
      </w:pPr>
      <w:bookmarkStart w:id="8" w:name="dbreak"/>
      <w:bookmarkEnd w:id="7"/>
      <w:bookmarkEnd w:id="8"/>
      <w:r>
        <w:rPr>
          <w:rFonts w:hint="eastAsia"/>
          <w:lang w:eastAsia="ko-KR"/>
        </w:rPr>
        <w:t xml:space="preserve">ITU-R </w:t>
      </w:r>
      <w:r>
        <w:rPr>
          <w:lang w:eastAsia="ja-JP"/>
        </w:rPr>
        <w:t xml:space="preserve">Working Party 6C </w:t>
      </w:r>
      <w:r w:rsidR="00B5180E">
        <w:rPr>
          <w:lang w:eastAsia="ja-JP"/>
        </w:rPr>
        <w:t xml:space="preserve">wishes to </w:t>
      </w:r>
      <w:r w:rsidR="00B5180E">
        <w:rPr>
          <w:rFonts w:hint="eastAsia"/>
          <w:lang w:eastAsia="ko-KR"/>
        </w:rPr>
        <w:t>inform</w:t>
      </w:r>
      <w:r w:rsidR="009D48A2">
        <w:rPr>
          <w:rFonts w:hint="eastAsia"/>
          <w:lang w:eastAsia="ko-KR"/>
        </w:rPr>
        <w:t xml:space="preserve"> that </w:t>
      </w:r>
      <w:r w:rsidR="00DF09DD">
        <w:rPr>
          <w:rFonts w:hint="eastAsia"/>
          <w:lang w:eastAsia="ko-KR"/>
        </w:rPr>
        <w:t xml:space="preserve">a new Rapporteur Group </w:t>
      </w:r>
      <w:r w:rsidR="00B5180E">
        <w:rPr>
          <w:lang w:eastAsia="ko-KR"/>
        </w:rPr>
        <w:t xml:space="preserve">has been established </w:t>
      </w:r>
      <w:r w:rsidR="00DF09DD">
        <w:rPr>
          <w:rFonts w:hint="eastAsia"/>
          <w:lang w:eastAsia="ko-KR"/>
        </w:rPr>
        <w:t xml:space="preserve">to </w:t>
      </w:r>
      <w:r w:rsidR="00DF09DD" w:rsidRPr="00BB3ECE">
        <w:t>study methods to assess, measure and specify “Quality of Experience” in television broadcasting</w:t>
      </w:r>
      <w:r w:rsidR="00AF2242">
        <w:rPr>
          <w:rFonts w:hint="eastAsia"/>
          <w:lang w:eastAsia="ko-KR"/>
        </w:rPr>
        <w:t xml:space="preserve">. </w:t>
      </w:r>
      <w:r w:rsidR="00F164E3">
        <w:rPr>
          <w:lang w:eastAsia="ja-JP"/>
        </w:rPr>
        <w:t xml:space="preserve"> </w:t>
      </w:r>
      <w:r w:rsidR="00AF2242">
        <w:rPr>
          <w:rFonts w:hint="eastAsia"/>
          <w:lang w:eastAsia="ko-KR"/>
        </w:rPr>
        <w:t>The</w:t>
      </w:r>
      <w:r w:rsidR="00AF2242">
        <w:rPr>
          <w:lang w:eastAsia="ko-KR"/>
        </w:rPr>
        <w:t> </w:t>
      </w:r>
      <w:r w:rsidR="00DF09DD">
        <w:rPr>
          <w:rFonts w:hint="eastAsia"/>
          <w:lang w:eastAsia="ko-KR"/>
        </w:rPr>
        <w:t xml:space="preserve">Terms of Reference of the Rapporteur Group </w:t>
      </w:r>
      <w:r w:rsidR="00C67F7C">
        <w:rPr>
          <w:rFonts w:hint="eastAsia"/>
          <w:lang w:eastAsia="ko-KR"/>
        </w:rPr>
        <w:t xml:space="preserve">are </w:t>
      </w:r>
      <w:r w:rsidR="00DF09DD">
        <w:rPr>
          <w:rFonts w:hint="eastAsia"/>
          <w:lang w:eastAsia="ko-KR"/>
        </w:rPr>
        <w:t>as follows:</w:t>
      </w:r>
    </w:p>
    <w:p w:rsidR="00E50228" w:rsidRDefault="00E50228" w:rsidP="00E50228">
      <w:pPr>
        <w:pStyle w:val="enumlev1"/>
      </w:pPr>
      <w:r>
        <w:t>–</w:t>
      </w:r>
      <w:r>
        <w:tab/>
        <w:t>To examine the definition of Quality of Experience used in Recommendation ITU-T G.1011</w:t>
      </w:r>
      <w:r>
        <w:rPr>
          <w:rFonts w:eastAsia="Malgun Gothic"/>
          <w:lang w:eastAsia="ko-KR"/>
        </w:rPr>
        <w:t xml:space="preserve"> or elsewhere,</w:t>
      </w:r>
      <w:r>
        <w:t xml:space="preserve"> and to propose that definition, or of a modified definition, for use in future Recommendations on Quality of Experience, to be developed by ITU-R Study Group 6 for application to television broadcasting.</w:t>
      </w:r>
    </w:p>
    <w:p w:rsidR="00E50228" w:rsidRDefault="00E50228" w:rsidP="00E50228">
      <w:pPr>
        <w:pStyle w:val="enumlev1"/>
      </w:pPr>
      <w:r>
        <w:t>–</w:t>
      </w:r>
      <w:r>
        <w:tab/>
        <w:t>To review Question ITU-R 44-4/6 “</w:t>
      </w:r>
      <w:r>
        <w:rPr>
          <w:rFonts w:eastAsia="SimSun"/>
          <w:color w:val="000000"/>
          <w:lang w:eastAsia="zh-CN"/>
        </w:rPr>
        <w:t>Objective picture quality parameters and associated measurement and monitoring methods for digital television images</w:t>
      </w:r>
      <w:r>
        <w:t>” and evaluate the need or otherwise to revise it in order that it may also apply to the subjective assessment and objective measurement of Quality of Experience.</w:t>
      </w:r>
    </w:p>
    <w:p w:rsidR="00E50228" w:rsidRDefault="00E50228" w:rsidP="00E50228">
      <w:pPr>
        <w:pStyle w:val="enumlev1"/>
      </w:pPr>
      <w:r>
        <w:t>–</w:t>
      </w:r>
      <w:r>
        <w:tab/>
        <w:t>To analyze the Recommendations that Study Group 6 has issued on quality assessment and measurements for television broadcasting, and advise to which extent they can be used toward the assessment and measurement of Quality of Experience as applied to television broadcasting, taking also into account relevant Recommendations issued by ITU-T Study Group 12, where appropriate.</w:t>
      </w:r>
    </w:p>
    <w:p w:rsidR="00E50228" w:rsidRDefault="00E50228" w:rsidP="00E50228">
      <w:pPr>
        <w:pStyle w:val="enumlev1"/>
      </w:pPr>
      <w:r>
        <w:t>–</w:t>
      </w:r>
      <w:r>
        <w:tab/>
        <w:t>To analyze relevant technical literature, and solicit or organize experimental research as needed, in order to determine in which way the various processes along the broadcast television signal path, from source to presentation in the home, impact on the quality of television broadcasting video and audio and concur in determining the Quality of Experience experienced by television audiences.</w:t>
      </w:r>
    </w:p>
    <w:p w:rsidR="00E50228" w:rsidRDefault="00E50228" w:rsidP="00E50228">
      <w:pPr>
        <w:pStyle w:val="enumlev1"/>
      </w:pPr>
      <w:r>
        <w:t>–</w:t>
      </w:r>
      <w:r>
        <w:tab/>
        <w:t xml:space="preserve">To </w:t>
      </w:r>
      <w:r>
        <w:rPr>
          <w:rFonts w:eastAsia="Malgun Gothic"/>
          <w:lang w:eastAsia="ko-KR"/>
        </w:rPr>
        <w:t>survey</w:t>
      </w:r>
      <w:r>
        <w:t>, if possible, a</w:t>
      </w:r>
      <w:r>
        <w:rPr>
          <w:rFonts w:eastAsia="Malgun Gothic"/>
          <w:lang w:eastAsia="ko-KR"/>
        </w:rPr>
        <w:t>ny existing</w:t>
      </w:r>
      <w:r>
        <w:t xml:space="preserve"> mathematical model</w:t>
      </w:r>
      <w:r>
        <w:rPr>
          <w:rFonts w:eastAsia="Malgun Gothic"/>
          <w:lang w:eastAsia="ko-KR"/>
        </w:rPr>
        <w:t>s</w:t>
      </w:r>
      <w:r>
        <w:t xml:space="preserve"> that can be used to predict the Quality of Experience to be expected in television broadcasting, basing on measurements of the values of the individual impairment parameter that impact on it. </w:t>
      </w:r>
    </w:p>
    <w:p w:rsidR="00DF09DD" w:rsidRPr="00E50228" w:rsidRDefault="00DF09DD" w:rsidP="003A1A56">
      <w:pPr>
        <w:rPr>
          <w:lang w:eastAsia="ko-KR"/>
        </w:rPr>
      </w:pPr>
    </w:p>
    <w:p w:rsidR="000069D4" w:rsidRPr="00D8032B" w:rsidRDefault="005A7083" w:rsidP="000242DC">
      <w:pPr>
        <w:jc w:val="center"/>
        <w:rPr>
          <w:lang w:val="fr-FR" w:eastAsia="zh-CN"/>
        </w:rPr>
      </w:pPr>
      <w:r>
        <w:rPr>
          <w:lang w:val="fr-FR" w:eastAsia="zh-CN"/>
        </w:rPr>
        <w:t>____________</w:t>
      </w:r>
    </w:p>
    <w:sectPr w:rsidR="000069D4" w:rsidRPr="00D8032B" w:rsidSect="00D02712">
      <w:headerReference w:type="even" r:id="rId10"/>
      <w:headerReference w:type="default" r:id="rId11"/>
      <w:footerReference w:type="even" r:id="rId12"/>
      <w:footerReference w:type="default" r:id="rId13"/>
      <w:headerReference w:type="firs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039" w:rsidRDefault="00842039">
      <w:r>
        <w:separator/>
      </w:r>
    </w:p>
  </w:endnote>
  <w:endnote w:type="continuationSeparator" w:id="0">
    <w:p w:rsidR="00842039" w:rsidRDefault="0084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725" w:rsidRDefault="00927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7D2" w:rsidRPr="005A7083" w:rsidRDefault="0036704E">
    <w:pPr>
      <w:pStyle w:val="Footer"/>
      <w:rPr>
        <w:lang w:val="en-US"/>
      </w:rPr>
    </w:pPr>
    <w:r>
      <w:fldChar w:fldCharType="begin"/>
    </w:r>
    <w:r>
      <w:instrText xml:space="preserve"> FILENAME \p \* MERGEFORMAT </w:instrText>
    </w:r>
    <w:r>
      <w:fldChar w:fldCharType="separate"/>
    </w:r>
    <w:r w:rsidR="00927725" w:rsidRPr="00927725">
      <w:rPr>
        <w:lang w:val="en-US"/>
      </w:rPr>
      <w:t>Y</w:t>
    </w:r>
    <w:r w:rsidR="00927725">
      <w:t>:\APP\BR\POOL\sg06\wp6c\liaisons\LS_06_R12-WP6C-141110-TD-0205!!R1MSW-E_pnh.docx</w:t>
    </w:r>
    <w:r>
      <w:fldChar w:fldCharType="end"/>
    </w:r>
    <w:r w:rsidR="005537D2">
      <w:t xml:space="preserve"> ( )</w:t>
    </w:r>
    <w:r w:rsidR="005537D2" w:rsidRPr="005A7083">
      <w:rPr>
        <w:lang w:val="en-US"/>
      </w:rPr>
      <w:tab/>
    </w:r>
    <w:r w:rsidR="008D3E95">
      <w:fldChar w:fldCharType="begin"/>
    </w:r>
    <w:r w:rsidR="005537D2">
      <w:instrText xml:space="preserve"> savedate \@ dd.MM.yy </w:instrText>
    </w:r>
    <w:r w:rsidR="008D3E95">
      <w:fldChar w:fldCharType="separate"/>
    </w:r>
    <w:r>
      <w:t>03.12.14</w:t>
    </w:r>
    <w:r w:rsidR="008D3E95">
      <w:fldChar w:fldCharType="end"/>
    </w:r>
    <w:r w:rsidR="005537D2" w:rsidRPr="005A7083">
      <w:rPr>
        <w:lang w:val="en-US"/>
      </w:rPr>
      <w:tab/>
    </w:r>
    <w:r w:rsidR="008D3E95">
      <w:fldChar w:fldCharType="begin"/>
    </w:r>
    <w:r w:rsidR="005537D2">
      <w:instrText xml:space="preserve"> printdate \@ dd.MM.yy </w:instrText>
    </w:r>
    <w:r w:rsidR="008D3E95">
      <w:fldChar w:fldCharType="separate"/>
    </w:r>
    <w:r w:rsidR="00927725">
      <w:t>03.12.14</w:t>
    </w:r>
    <w:r w:rsidR="008D3E9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42" w:rsidRPr="0036704E" w:rsidRDefault="00AF2242" w:rsidP="0036704E">
    <w:pPr>
      <w:pStyle w:val="Footer"/>
    </w:pPr>
    <w:bookmarkStart w:id="9" w:name="_GoBack"/>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039" w:rsidRDefault="00842039">
      <w:r>
        <w:t>____________________</w:t>
      </w:r>
    </w:p>
  </w:footnote>
  <w:footnote w:type="continuationSeparator" w:id="0">
    <w:p w:rsidR="00842039" w:rsidRDefault="00842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725" w:rsidRDefault="00927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7D2" w:rsidRDefault="005537D2" w:rsidP="00330567">
    <w:pPr>
      <w:pStyle w:val="Header"/>
      <w:rPr>
        <w:rStyle w:val="PageNumber"/>
      </w:rPr>
    </w:pPr>
    <w:r>
      <w:rPr>
        <w:lang w:val="en-US"/>
      </w:rPr>
      <w:t xml:space="preserve">- </w:t>
    </w:r>
    <w:r w:rsidR="008D3E95">
      <w:rPr>
        <w:rStyle w:val="PageNumber"/>
      </w:rPr>
      <w:fldChar w:fldCharType="begin"/>
    </w:r>
    <w:r>
      <w:rPr>
        <w:rStyle w:val="PageNumber"/>
      </w:rPr>
      <w:instrText xml:space="preserve"> PAGE </w:instrText>
    </w:r>
    <w:r w:rsidR="008D3E95">
      <w:rPr>
        <w:rStyle w:val="PageNumber"/>
      </w:rPr>
      <w:fldChar w:fldCharType="separate"/>
    </w:r>
    <w:r w:rsidR="002068FA">
      <w:rPr>
        <w:rStyle w:val="PageNumber"/>
        <w:noProof/>
      </w:rPr>
      <w:t>2</w:t>
    </w:r>
    <w:r w:rsidR="008D3E95">
      <w:rPr>
        <w:rStyle w:val="PageNumber"/>
      </w:rPr>
      <w:fldChar w:fldCharType="end"/>
    </w:r>
    <w:r>
      <w:rPr>
        <w:rStyle w:val="PageNumber"/>
      </w:rPr>
      <w:t xml:space="preserve"> -</w:t>
    </w:r>
  </w:p>
  <w:p w:rsidR="005537D2" w:rsidRDefault="005537D2">
    <w:pPr>
      <w:pStyle w:val="Header"/>
      <w:rPr>
        <w:lang w:val="en-US"/>
      </w:rPr>
    </w:pPr>
    <w:r>
      <w:rPr>
        <w:lang w:val="en-US"/>
      </w:rPr>
      <w:t>6B/48-E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725" w:rsidRDefault="00927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F5"/>
    <w:rsid w:val="000069D4"/>
    <w:rsid w:val="000174AD"/>
    <w:rsid w:val="000242DC"/>
    <w:rsid w:val="000805B1"/>
    <w:rsid w:val="000A59D8"/>
    <w:rsid w:val="000A7D55"/>
    <w:rsid w:val="000B3A98"/>
    <w:rsid w:val="000C212C"/>
    <w:rsid w:val="000C2E8E"/>
    <w:rsid w:val="000C61A9"/>
    <w:rsid w:val="000E0E7C"/>
    <w:rsid w:val="000E5856"/>
    <w:rsid w:val="000F1B4B"/>
    <w:rsid w:val="0010261D"/>
    <w:rsid w:val="0012744F"/>
    <w:rsid w:val="00156F66"/>
    <w:rsid w:val="00182528"/>
    <w:rsid w:val="0018500B"/>
    <w:rsid w:val="00191FBB"/>
    <w:rsid w:val="00196A19"/>
    <w:rsid w:val="001B0763"/>
    <w:rsid w:val="001D7988"/>
    <w:rsid w:val="001F4E23"/>
    <w:rsid w:val="00202DC1"/>
    <w:rsid w:val="002068FA"/>
    <w:rsid w:val="002116EE"/>
    <w:rsid w:val="002309D8"/>
    <w:rsid w:val="00283E4D"/>
    <w:rsid w:val="00295D1E"/>
    <w:rsid w:val="002A7FE2"/>
    <w:rsid w:val="002E1B4F"/>
    <w:rsid w:val="002F2E67"/>
    <w:rsid w:val="00304DD6"/>
    <w:rsid w:val="00315546"/>
    <w:rsid w:val="00330567"/>
    <w:rsid w:val="00363B0E"/>
    <w:rsid w:val="0036704E"/>
    <w:rsid w:val="00386A9D"/>
    <w:rsid w:val="00391081"/>
    <w:rsid w:val="0039799E"/>
    <w:rsid w:val="003A1A56"/>
    <w:rsid w:val="003B2789"/>
    <w:rsid w:val="003C13CE"/>
    <w:rsid w:val="003D02E9"/>
    <w:rsid w:val="003E2518"/>
    <w:rsid w:val="0042687D"/>
    <w:rsid w:val="00442190"/>
    <w:rsid w:val="004B1EF7"/>
    <w:rsid w:val="004B3FAD"/>
    <w:rsid w:val="004C41B5"/>
    <w:rsid w:val="005014B5"/>
    <w:rsid w:val="00501DCA"/>
    <w:rsid w:val="00513A47"/>
    <w:rsid w:val="005347B4"/>
    <w:rsid w:val="005408DF"/>
    <w:rsid w:val="005537D2"/>
    <w:rsid w:val="00571069"/>
    <w:rsid w:val="00573344"/>
    <w:rsid w:val="00583F9B"/>
    <w:rsid w:val="005A7083"/>
    <w:rsid w:val="005E5C10"/>
    <w:rsid w:val="005E7BF7"/>
    <w:rsid w:val="005F2C78"/>
    <w:rsid w:val="00603F6A"/>
    <w:rsid w:val="006144E4"/>
    <w:rsid w:val="006361E1"/>
    <w:rsid w:val="00650299"/>
    <w:rsid w:val="00655FC5"/>
    <w:rsid w:val="00663DA9"/>
    <w:rsid w:val="006A734B"/>
    <w:rsid w:val="006B04D7"/>
    <w:rsid w:val="00717B62"/>
    <w:rsid w:val="0073722A"/>
    <w:rsid w:val="007A0B1B"/>
    <w:rsid w:val="007C1E7B"/>
    <w:rsid w:val="00811A95"/>
    <w:rsid w:val="00822581"/>
    <w:rsid w:val="008309DD"/>
    <w:rsid w:val="0083227A"/>
    <w:rsid w:val="00842039"/>
    <w:rsid w:val="00847EEA"/>
    <w:rsid w:val="00866900"/>
    <w:rsid w:val="00881BA1"/>
    <w:rsid w:val="008A4E87"/>
    <w:rsid w:val="008C26B8"/>
    <w:rsid w:val="008D3E95"/>
    <w:rsid w:val="00912993"/>
    <w:rsid w:val="00927725"/>
    <w:rsid w:val="00934344"/>
    <w:rsid w:val="00982084"/>
    <w:rsid w:val="00995963"/>
    <w:rsid w:val="009971FD"/>
    <w:rsid w:val="009A3FE3"/>
    <w:rsid w:val="009B61EB"/>
    <w:rsid w:val="009C2064"/>
    <w:rsid w:val="009D1697"/>
    <w:rsid w:val="009D48A2"/>
    <w:rsid w:val="009F6148"/>
    <w:rsid w:val="00A014F8"/>
    <w:rsid w:val="00A30970"/>
    <w:rsid w:val="00A5173C"/>
    <w:rsid w:val="00A61AEF"/>
    <w:rsid w:val="00A805BD"/>
    <w:rsid w:val="00A87FE1"/>
    <w:rsid w:val="00AA74D5"/>
    <w:rsid w:val="00AB2BAF"/>
    <w:rsid w:val="00AE0655"/>
    <w:rsid w:val="00AF173A"/>
    <w:rsid w:val="00AF2242"/>
    <w:rsid w:val="00B066A4"/>
    <w:rsid w:val="00B07A13"/>
    <w:rsid w:val="00B4279B"/>
    <w:rsid w:val="00B45FC9"/>
    <w:rsid w:val="00B5180E"/>
    <w:rsid w:val="00B71616"/>
    <w:rsid w:val="00B76107"/>
    <w:rsid w:val="00B90CCB"/>
    <w:rsid w:val="00BA28E1"/>
    <w:rsid w:val="00BC7CCF"/>
    <w:rsid w:val="00BE470B"/>
    <w:rsid w:val="00C54EB3"/>
    <w:rsid w:val="00C57A91"/>
    <w:rsid w:val="00C67F7C"/>
    <w:rsid w:val="00C71AF5"/>
    <w:rsid w:val="00CC01C2"/>
    <w:rsid w:val="00CC47D2"/>
    <w:rsid w:val="00CF21F2"/>
    <w:rsid w:val="00D02712"/>
    <w:rsid w:val="00D16A09"/>
    <w:rsid w:val="00D214D0"/>
    <w:rsid w:val="00D21AA2"/>
    <w:rsid w:val="00D60CFB"/>
    <w:rsid w:val="00D6546B"/>
    <w:rsid w:val="00D654F4"/>
    <w:rsid w:val="00D662DE"/>
    <w:rsid w:val="00D75A01"/>
    <w:rsid w:val="00D7632B"/>
    <w:rsid w:val="00DD4BED"/>
    <w:rsid w:val="00DE39F0"/>
    <w:rsid w:val="00DF09DD"/>
    <w:rsid w:val="00DF0AF3"/>
    <w:rsid w:val="00E27D7E"/>
    <w:rsid w:val="00E37083"/>
    <w:rsid w:val="00E42E13"/>
    <w:rsid w:val="00E50228"/>
    <w:rsid w:val="00E6257C"/>
    <w:rsid w:val="00E63C59"/>
    <w:rsid w:val="00ED3672"/>
    <w:rsid w:val="00ED6328"/>
    <w:rsid w:val="00F10806"/>
    <w:rsid w:val="00F12DEF"/>
    <w:rsid w:val="00F164E3"/>
    <w:rsid w:val="00F77D4F"/>
    <w:rsid w:val="00FA124A"/>
    <w:rsid w:val="00FB3926"/>
    <w:rsid w:val="00FB6907"/>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D0BC62F-8060-4C32-9403-A8271FC7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3Char">
    <w:name w:val="Heading 3 Char"/>
    <w:basedOn w:val="DefaultParagraphFont"/>
    <w:link w:val="Heading3"/>
    <w:rsid w:val="005A7083"/>
    <w:rPr>
      <w:rFonts w:ascii="Times New Roman" w:hAnsi="Times New Roman"/>
      <w:b/>
      <w:sz w:val="24"/>
      <w:lang w:val="en-GB" w:eastAsia="en-US"/>
    </w:rPr>
  </w:style>
  <w:style w:type="paragraph" w:styleId="BalloonText">
    <w:name w:val="Balloon Text"/>
    <w:basedOn w:val="Normal"/>
    <w:link w:val="BalloonTextChar"/>
    <w:rsid w:val="00AA74D5"/>
    <w:pPr>
      <w:spacing w:before="0"/>
    </w:pPr>
    <w:rPr>
      <w:rFonts w:ascii="Tahoma" w:hAnsi="Tahoma" w:cs="Tahoma"/>
      <w:sz w:val="16"/>
      <w:szCs w:val="16"/>
    </w:rPr>
  </w:style>
  <w:style w:type="character" w:customStyle="1" w:styleId="BalloonTextChar">
    <w:name w:val="Balloon Text Char"/>
    <w:basedOn w:val="DefaultParagraphFont"/>
    <w:link w:val="BalloonText"/>
    <w:rsid w:val="00AA74D5"/>
    <w:rPr>
      <w:rFonts w:ascii="Tahoma" w:hAnsi="Tahoma" w:cs="Tahoma"/>
      <w:sz w:val="16"/>
      <w:szCs w:val="16"/>
      <w:lang w:val="en-GB" w:eastAsia="en-US"/>
    </w:rPr>
  </w:style>
  <w:style w:type="character" w:customStyle="1" w:styleId="FooterChar">
    <w:name w:val="Footer Char"/>
    <w:basedOn w:val="DefaultParagraphFont"/>
    <w:link w:val="Footer"/>
    <w:rsid w:val="00934344"/>
    <w:rPr>
      <w:rFonts w:ascii="Times New Roman" w:hAnsi="Times New Roman"/>
      <w:caps/>
      <w:noProof/>
      <w:sz w:val="16"/>
      <w:lang w:val="en-GB" w:eastAsia="en-US"/>
    </w:rPr>
  </w:style>
  <w:style w:type="character" w:styleId="Hyperlink">
    <w:name w:val="Hyperlink"/>
    <w:basedOn w:val="DefaultParagraphFont"/>
    <w:rsid w:val="00571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167207">
      <w:bodyDiv w:val="1"/>
      <w:marLeft w:val="0"/>
      <w:marRight w:val="0"/>
      <w:marTop w:val="0"/>
      <w:marBottom w:val="0"/>
      <w:divBdr>
        <w:top w:val="none" w:sz="0" w:space="0" w:color="auto"/>
        <w:left w:val="none" w:sz="0" w:space="0" w:color="auto"/>
        <w:bottom w:val="none" w:sz="0" w:space="0" w:color="auto"/>
        <w:right w:val="none" w:sz="0" w:space="0" w:color="auto"/>
      </w:divBdr>
    </w:div>
    <w:div w:id="1486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7EB174CDD964BBF413859EB4891E2" ma:contentTypeVersion="1" ma:contentTypeDescription="Create a new document." ma:contentTypeScope="" ma:versionID="b9599a55c60d5d8a4ae6a8a4f2de9c71">
  <xsd:schema xmlns:xsd="http://www.w3.org/2001/XMLSchema" xmlns:xs="http://www.w3.org/2001/XMLSchema" xmlns:p="http://schemas.microsoft.com/office/2006/metadata/properties" xmlns:ns2="4c6a61cb-1973-4fc6-92ae-f4d7a4471404" targetNamespace="http://schemas.microsoft.com/office/2006/metadata/properties" ma:root="true" ma:fieldsID="b1344d7f3f04310ee3e9e9e992118a32"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B96DA-BD0D-4531-A32B-097CFB7A2644}">
  <ds:schemaRefs>
    <ds:schemaRef ds:uri="http://schemas.microsoft.com/sharepoint/v3/contenttype/forms"/>
  </ds:schemaRefs>
</ds:datastoreItem>
</file>

<file path=customXml/itemProps2.xml><?xml version="1.0" encoding="utf-8"?>
<ds:datastoreItem xmlns:ds="http://schemas.openxmlformats.org/officeDocument/2006/customXml" ds:itemID="{8C69DDC5-6D0F-4626-911B-683E6B9E9DCB}">
  <ds:schemaRefs>
    <ds:schemaRef ds:uri="http://schemas.microsoft.com/office/2006/metadata/properties"/>
    <ds:schemaRef ds:uri="http://schemas.microsoft.com/office/infopath/2007/PartnerControls"/>
    <ds:schemaRef ds:uri="4c6a61cb-1973-4fc6-92ae-f4d7a4471404"/>
  </ds:schemaRefs>
</ds:datastoreItem>
</file>

<file path=customXml/itemProps3.xml><?xml version="1.0" encoding="utf-8"?>
<ds:datastoreItem xmlns:ds="http://schemas.openxmlformats.org/officeDocument/2006/customXml" ds:itemID="{7D8EB7A5-19CD-4B12-A65F-5F7471994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1</Pages>
  <Words>330</Words>
  <Characters>1891</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Draft of a liason to MPEG re 10-bit HEVC</vt:lpstr>
      <vt:lpstr>Draft of a liason to MPEG re 10-bit HEVC</vt:lpstr>
    </vt:vector>
  </TitlesOfParts>
  <Company>Sony Europe</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a liason to MPEG re 10-bit HEVC</dc:title>
  <dc:creator>Fernandez Virginia</dc:creator>
  <cp:lastModifiedBy>Mostyn-Jones, Elizabeth</cp:lastModifiedBy>
  <cp:revision>4</cp:revision>
  <cp:lastPrinted>2014-12-03T07:16:00Z</cp:lastPrinted>
  <dcterms:created xsi:type="dcterms:W3CDTF">2014-11-15T07:58:00Z</dcterms:created>
  <dcterms:modified xsi:type="dcterms:W3CDTF">2014-12-04T09:49:00Z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0x0101003F57EB174CDD964BBF413859EB4891E2</vt:lpwstr>
  </property>
</Properties>
</file>