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08"/>
        <w:gridCol w:w="199"/>
        <w:gridCol w:w="552"/>
        <w:gridCol w:w="2789"/>
        <w:gridCol w:w="477"/>
        <w:gridCol w:w="671"/>
        <w:gridCol w:w="444"/>
        <w:gridCol w:w="3326"/>
        <w:gridCol w:w="57"/>
      </w:tblGrid>
      <w:tr w:rsidR="004E6C9E" w:rsidRPr="004E6C9E" w14:paraId="5EAF3062" w14:textId="77777777" w:rsidTr="004D2B21">
        <w:trPr>
          <w:gridAfter w:val="1"/>
          <w:wAfter w:w="57" w:type="dxa"/>
          <w:cantSplit/>
        </w:trPr>
        <w:tc>
          <w:tcPr>
            <w:tcW w:w="1408" w:type="dxa"/>
            <w:vMerge w:val="restart"/>
          </w:tcPr>
          <w:p w14:paraId="09C68CFC" w14:textId="06A98326" w:rsidR="004E6C9E" w:rsidRPr="004E6C9E" w:rsidRDefault="004E6C9E" w:rsidP="004E6C9E">
            <w:bookmarkStart w:id="0" w:name="InsertLogo"/>
            <w:bookmarkStart w:id="1" w:name="dnum" w:colFirst="2" w:colLast="2"/>
            <w:bookmarkStart w:id="2" w:name="dtableau"/>
            <w:bookmarkEnd w:id="0"/>
            <w:r w:rsidRPr="004E6C9E">
              <w:rPr>
                <w:b/>
                <w:noProof/>
                <w:sz w:val="36"/>
                <w:lang w:eastAsia="zh-CN"/>
              </w:rPr>
              <w:drawing>
                <wp:inline distT="0" distB="0" distL="0" distR="0" wp14:anchorId="3018F756" wp14:editId="48D5705D">
                  <wp:extent cx="771525" cy="838200"/>
                  <wp:effectExtent l="1905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2" w:type="dxa"/>
            <w:gridSpan w:val="6"/>
          </w:tcPr>
          <w:p w14:paraId="211B58A5" w14:textId="77777777" w:rsidR="004E6C9E" w:rsidRPr="004E6C9E" w:rsidRDefault="004E6C9E" w:rsidP="004E6C9E">
            <w:pPr>
              <w:rPr>
                <w:sz w:val="20"/>
              </w:rPr>
            </w:pPr>
            <w:r w:rsidRPr="004E6C9E">
              <w:rPr>
                <w:sz w:val="20"/>
              </w:rPr>
              <w:t>INTERNATIONAL TELECOMMUNICATION UNION</w:t>
            </w:r>
          </w:p>
        </w:tc>
        <w:tc>
          <w:tcPr>
            <w:tcW w:w="3326" w:type="dxa"/>
          </w:tcPr>
          <w:p w14:paraId="31247527" w14:textId="1A589E47" w:rsidR="004E6C9E" w:rsidRPr="004E6C9E" w:rsidRDefault="004E6C9E" w:rsidP="004E6C9E">
            <w:pPr>
              <w:pStyle w:val="Docnumber"/>
              <w:rPr>
                <w:sz w:val="28"/>
              </w:rPr>
            </w:pPr>
            <w:r>
              <w:rPr>
                <w:sz w:val="28"/>
              </w:rPr>
              <w:t>COM 12 – LS 128 – E</w:t>
            </w:r>
          </w:p>
        </w:tc>
      </w:tr>
      <w:tr w:rsidR="004E6C9E" w:rsidRPr="004E6C9E" w14:paraId="79D69C6A" w14:textId="77777777" w:rsidTr="004D2B21">
        <w:trPr>
          <w:gridAfter w:val="1"/>
          <w:wAfter w:w="57" w:type="dxa"/>
          <w:cantSplit/>
          <w:trHeight w:val="355"/>
        </w:trPr>
        <w:tc>
          <w:tcPr>
            <w:tcW w:w="1408" w:type="dxa"/>
            <w:vMerge/>
          </w:tcPr>
          <w:p w14:paraId="01E009EE" w14:textId="77777777" w:rsidR="004E6C9E" w:rsidRPr="004E6C9E" w:rsidRDefault="004E6C9E" w:rsidP="004E6C9E">
            <w:bookmarkStart w:id="3" w:name="ddate" w:colFirst="2" w:colLast="2"/>
            <w:bookmarkEnd w:id="1"/>
          </w:p>
        </w:tc>
        <w:tc>
          <w:tcPr>
            <w:tcW w:w="4017" w:type="dxa"/>
            <w:gridSpan w:val="4"/>
            <w:vMerge w:val="restart"/>
          </w:tcPr>
          <w:p w14:paraId="0AE99946" w14:textId="77777777" w:rsidR="004E6C9E" w:rsidRPr="004E6C9E" w:rsidRDefault="004E6C9E" w:rsidP="004E6C9E">
            <w:pPr>
              <w:rPr>
                <w:b/>
                <w:bCs/>
                <w:sz w:val="26"/>
              </w:rPr>
            </w:pPr>
            <w:r w:rsidRPr="004E6C9E">
              <w:rPr>
                <w:b/>
                <w:bCs/>
                <w:sz w:val="26"/>
              </w:rPr>
              <w:t>TELECOMMUNICATION</w:t>
            </w:r>
            <w:r w:rsidRPr="004E6C9E">
              <w:rPr>
                <w:b/>
                <w:bCs/>
                <w:sz w:val="26"/>
              </w:rPr>
              <w:br/>
              <w:t>STANDARDIZATION SECTOR</w:t>
            </w:r>
          </w:p>
          <w:p w14:paraId="3EA9D38C" w14:textId="416DBBA0" w:rsidR="004E6C9E" w:rsidRPr="004E6C9E" w:rsidRDefault="004E6C9E" w:rsidP="004E6C9E">
            <w:pPr>
              <w:rPr>
                <w:smallCaps/>
                <w:sz w:val="20"/>
              </w:rPr>
            </w:pPr>
            <w:r w:rsidRPr="004E6C9E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2013-2016</w:t>
            </w:r>
          </w:p>
        </w:tc>
        <w:tc>
          <w:tcPr>
            <w:tcW w:w="4441" w:type="dxa"/>
            <w:gridSpan w:val="3"/>
          </w:tcPr>
          <w:p w14:paraId="1425666A" w14:textId="77777777" w:rsidR="004E6C9E" w:rsidRPr="004E6C9E" w:rsidRDefault="004E6C9E" w:rsidP="004E6C9E">
            <w:pPr>
              <w:jc w:val="right"/>
              <w:rPr>
                <w:b/>
                <w:bCs/>
              </w:rPr>
            </w:pPr>
          </w:p>
        </w:tc>
      </w:tr>
      <w:tr w:rsidR="004E6C9E" w:rsidRPr="004E6C9E" w14:paraId="62DC050D" w14:textId="77777777" w:rsidTr="004D2B21">
        <w:trPr>
          <w:gridAfter w:val="1"/>
          <w:wAfter w:w="57" w:type="dxa"/>
          <w:cantSplit/>
          <w:trHeight w:val="780"/>
        </w:trPr>
        <w:tc>
          <w:tcPr>
            <w:tcW w:w="1408" w:type="dxa"/>
            <w:vMerge/>
            <w:tcBorders>
              <w:bottom w:val="single" w:sz="12" w:space="0" w:color="auto"/>
            </w:tcBorders>
          </w:tcPr>
          <w:p w14:paraId="393B7948" w14:textId="77777777" w:rsidR="004E6C9E" w:rsidRPr="004E6C9E" w:rsidRDefault="004E6C9E" w:rsidP="004E6C9E">
            <w:bookmarkStart w:id="4" w:name="dorlang" w:colFirst="2" w:colLast="2"/>
            <w:bookmarkEnd w:id="3"/>
          </w:p>
        </w:tc>
        <w:tc>
          <w:tcPr>
            <w:tcW w:w="4017" w:type="dxa"/>
            <w:gridSpan w:val="4"/>
            <w:vMerge/>
            <w:tcBorders>
              <w:bottom w:val="single" w:sz="12" w:space="0" w:color="auto"/>
            </w:tcBorders>
          </w:tcPr>
          <w:p w14:paraId="39A892DA" w14:textId="77777777" w:rsidR="004E6C9E" w:rsidRPr="004E6C9E" w:rsidRDefault="004E6C9E" w:rsidP="004E6C9E">
            <w:pPr>
              <w:rPr>
                <w:b/>
                <w:bCs/>
                <w:sz w:val="26"/>
              </w:rPr>
            </w:pPr>
          </w:p>
        </w:tc>
        <w:tc>
          <w:tcPr>
            <w:tcW w:w="4441" w:type="dxa"/>
            <w:gridSpan w:val="3"/>
            <w:tcBorders>
              <w:bottom w:val="single" w:sz="12" w:space="0" w:color="auto"/>
            </w:tcBorders>
            <w:vAlign w:val="center"/>
          </w:tcPr>
          <w:p w14:paraId="6BFD0076" w14:textId="77777777" w:rsidR="004E6C9E" w:rsidRDefault="004E6C9E" w:rsidP="004E6C9E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14:paraId="13168AEB" w14:textId="6407B164" w:rsidR="004E6C9E" w:rsidRPr="004E6C9E" w:rsidRDefault="004E6C9E" w:rsidP="004E6C9E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4E6C9E" w:rsidRPr="004E6C9E" w14:paraId="0D6E9C7C" w14:textId="77777777" w:rsidTr="004D2B21">
        <w:trPr>
          <w:gridAfter w:val="1"/>
          <w:wAfter w:w="57" w:type="dxa"/>
          <w:cantSplit/>
          <w:trHeight w:val="357"/>
        </w:trPr>
        <w:tc>
          <w:tcPr>
            <w:tcW w:w="1607" w:type="dxa"/>
            <w:gridSpan w:val="2"/>
          </w:tcPr>
          <w:p w14:paraId="2DBABFF5" w14:textId="77777777" w:rsidR="004E6C9E" w:rsidRPr="004E6C9E" w:rsidRDefault="004E6C9E" w:rsidP="004E6C9E">
            <w:pPr>
              <w:rPr>
                <w:b/>
                <w:bCs/>
              </w:rPr>
            </w:pPr>
            <w:bookmarkStart w:id="5" w:name="dmeeting" w:colFirst="2" w:colLast="2"/>
            <w:bookmarkStart w:id="6" w:name="dbluepink" w:colFirst="1" w:colLast="1"/>
            <w:bookmarkEnd w:id="4"/>
            <w:r w:rsidRPr="004E6C9E">
              <w:rPr>
                <w:b/>
                <w:bCs/>
              </w:rPr>
              <w:t>Question(s):</w:t>
            </w:r>
          </w:p>
        </w:tc>
        <w:tc>
          <w:tcPr>
            <w:tcW w:w="3341" w:type="dxa"/>
            <w:gridSpan w:val="2"/>
          </w:tcPr>
          <w:p w14:paraId="7062D39F" w14:textId="162D335B" w:rsidR="004E6C9E" w:rsidRPr="004E6C9E" w:rsidRDefault="004E6C9E" w:rsidP="004E6C9E">
            <w:r w:rsidRPr="004E6C9E">
              <w:t>13, 14, 17/12</w:t>
            </w:r>
          </w:p>
        </w:tc>
        <w:tc>
          <w:tcPr>
            <w:tcW w:w="4918" w:type="dxa"/>
            <w:gridSpan w:val="4"/>
          </w:tcPr>
          <w:p w14:paraId="1A5D6EC1" w14:textId="3E8699FB" w:rsidR="004E6C9E" w:rsidRPr="004E6C9E" w:rsidRDefault="004E6C9E" w:rsidP="004E6C9E">
            <w:pPr>
              <w:jc w:val="right"/>
            </w:pPr>
            <w:r>
              <w:t>Munich, 20 October 2016</w:t>
            </w:r>
          </w:p>
        </w:tc>
      </w:tr>
      <w:tr w:rsidR="004E6C9E" w:rsidRPr="004E6C9E" w14:paraId="360F8960" w14:textId="77777777" w:rsidTr="004D2B21">
        <w:trPr>
          <w:gridAfter w:val="1"/>
          <w:wAfter w:w="57" w:type="dxa"/>
          <w:cantSplit/>
          <w:trHeight w:val="357"/>
        </w:trPr>
        <w:tc>
          <w:tcPr>
            <w:tcW w:w="9866" w:type="dxa"/>
            <w:gridSpan w:val="8"/>
          </w:tcPr>
          <w:p w14:paraId="677607A1" w14:textId="515D2F3D" w:rsidR="004E6C9E" w:rsidRPr="004E6C9E" w:rsidRDefault="004E6C9E" w:rsidP="004E6C9E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4E6C9E">
              <w:rPr>
                <w:b/>
                <w:bCs/>
              </w:rPr>
              <w:t>Ref.: TD 1073 R1 (GEN/12)</w:t>
            </w:r>
          </w:p>
        </w:tc>
      </w:tr>
      <w:tr w:rsidR="004E6C9E" w:rsidRPr="004E6C9E" w14:paraId="0AF96132" w14:textId="77777777" w:rsidTr="004D2B21">
        <w:trPr>
          <w:gridAfter w:val="1"/>
          <w:wAfter w:w="57" w:type="dxa"/>
          <w:cantSplit/>
          <w:trHeight w:val="357"/>
        </w:trPr>
        <w:tc>
          <w:tcPr>
            <w:tcW w:w="1607" w:type="dxa"/>
            <w:gridSpan w:val="2"/>
          </w:tcPr>
          <w:p w14:paraId="0D15F235" w14:textId="77777777" w:rsidR="004E6C9E" w:rsidRPr="004E6C9E" w:rsidRDefault="004E6C9E" w:rsidP="004E6C9E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4E6C9E">
              <w:rPr>
                <w:b/>
                <w:bCs/>
              </w:rPr>
              <w:t>Source:</w:t>
            </w:r>
          </w:p>
        </w:tc>
        <w:tc>
          <w:tcPr>
            <w:tcW w:w="8259" w:type="dxa"/>
            <w:gridSpan w:val="6"/>
          </w:tcPr>
          <w:p w14:paraId="1DF995ED" w14:textId="5F17DE5B" w:rsidR="004E6C9E" w:rsidRPr="004E6C9E" w:rsidRDefault="004E6C9E" w:rsidP="004E6C9E">
            <w:r w:rsidRPr="004E6C9E">
              <w:t>ITU-T Study Group 12</w:t>
            </w:r>
          </w:p>
        </w:tc>
      </w:tr>
      <w:tr w:rsidR="004E6C9E" w:rsidRPr="004E6C9E" w14:paraId="3AAFD5CA" w14:textId="77777777" w:rsidTr="004D2B21">
        <w:trPr>
          <w:gridAfter w:val="1"/>
          <w:wAfter w:w="57" w:type="dxa"/>
          <w:cantSplit/>
          <w:trHeight w:val="357"/>
        </w:trPr>
        <w:tc>
          <w:tcPr>
            <w:tcW w:w="1607" w:type="dxa"/>
            <w:gridSpan w:val="2"/>
            <w:tcBorders>
              <w:bottom w:val="single" w:sz="12" w:space="0" w:color="auto"/>
            </w:tcBorders>
          </w:tcPr>
          <w:p w14:paraId="1C126234" w14:textId="77777777" w:rsidR="004E6C9E" w:rsidRPr="004E6C9E" w:rsidRDefault="004E6C9E" w:rsidP="004E6C9E">
            <w:pPr>
              <w:spacing w:after="120"/>
            </w:pPr>
            <w:bookmarkStart w:id="9" w:name="dtitle1" w:colFirst="1" w:colLast="1"/>
            <w:bookmarkEnd w:id="8"/>
            <w:r w:rsidRPr="004E6C9E">
              <w:rPr>
                <w:b/>
                <w:bCs/>
              </w:rPr>
              <w:t>Title:</w:t>
            </w:r>
          </w:p>
        </w:tc>
        <w:tc>
          <w:tcPr>
            <w:tcW w:w="8259" w:type="dxa"/>
            <w:gridSpan w:val="6"/>
            <w:tcBorders>
              <w:bottom w:val="single" w:sz="12" w:space="0" w:color="auto"/>
            </w:tcBorders>
          </w:tcPr>
          <w:p w14:paraId="084E30B9" w14:textId="1316BBFD" w:rsidR="004E6C9E" w:rsidRPr="004E6C9E" w:rsidRDefault="00D513A3" w:rsidP="004E6C9E">
            <w:pPr>
              <w:spacing w:after="120"/>
            </w:pPr>
            <w:r>
              <w:t>LS -</w:t>
            </w:r>
            <w:r w:rsidR="004E6C9E" w:rsidRPr="004E6C9E">
              <w:t>Summary of ITU-T Study Group 12 work on Streaming Media Quality</w:t>
            </w:r>
          </w:p>
        </w:tc>
      </w:tr>
      <w:bookmarkEnd w:id="2"/>
      <w:bookmarkEnd w:id="9"/>
      <w:tr w:rsidR="009F5CAB" w14:paraId="089DAA53" w14:textId="77777777" w:rsidTr="003869CD">
        <w:trPr>
          <w:cantSplit/>
          <w:trHeight w:val="357"/>
        </w:trPr>
        <w:tc>
          <w:tcPr>
            <w:tcW w:w="9923" w:type="dxa"/>
            <w:gridSpan w:val="9"/>
            <w:tcBorders>
              <w:top w:val="single" w:sz="12" w:space="0" w:color="auto"/>
            </w:tcBorders>
          </w:tcPr>
          <w:p w14:paraId="0D942D61" w14:textId="77777777" w:rsidR="009F5CAB" w:rsidRDefault="009F5CA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3869CD" w14:paraId="230747F0" w14:textId="77777777" w:rsidTr="004D2B21">
        <w:trPr>
          <w:cantSplit/>
          <w:trHeight w:val="357"/>
        </w:trPr>
        <w:tc>
          <w:tcPr>
            <w:tcW w:w="2159" w:type="dxa"/>
            <w:gridSpan w:val="3"/>
          </w:tcPr>
          <w:p w14:paraId="239BDB97" w14:textId="446FED9B" w:rsidR="003869CD" w:rsidRPr="003869CD" w:rsidRDefault="003869CD" w:rsidP="003869C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  <w:r w:rsidR="00BC0BD1">
              <w:rPr>
                <w:b/>
                <w:bCs/>
              </w:rPr>
              <w:t xml:space="preserve"> </w:t>
            </w:r>
          </w:p>
        </w:tc>
        <w:tc>
          <w:tcPr>
            <w:tcW w:w="7764" w:type="dxa"/>
            <w:gridSpan w:val="6"/>
          </w:tcPr>
          <w:p w14:paraId="2D43F47E" w14:textId="4CCE068D" w:rsidR="003869CD" w:rsidRDefault="00BC0BD1" w:rsidP="004E6C9E">
            <w:pPr>
              <w:pStyle w:val="LSForAction"/>
            </w:pPr>
            <w:r>
              <w:t>DASH-IF, CTA R4 WG20 Streaming Media Quality of Experience (</w:t>
            </w:r>
            <w:proofErr w:type="spellStart"/>
            <w:r>
              <w:t>QoE</w:t>
            </w:r>
            <w:proofErr w:type="spellEnd"/>
            <w:r>
              <w:t xml:space="preserve">) </w:t>
            </w:r>
          </w:p>
        </w:tc>
      </w:tr>
      <w:tr w:rsidR="003869CD" w14:paraId="6038C197" w14:textId="77777777" w:rsidTr="004D2B21">
        <w:trPr>
          <w:cantSplit/>
          <w:trHeight w:val="357"/>
        </w:trPr>
        <w:tc>
          <w:tcPr>
            <w:tcW w:w="2159" w:type="dxa"/>
            <w:gridSpan w:val="3"/>
          </w:tcPr>
          <w:p w14:paraId="695F8492" w14:textId="77777777" w:rsidR="003869CD" w:rsidRPr="003869CD" w:rsidRDefault="003869CD" w:rsidP="003869C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64" w:type="dxa"/>
            <w:gridSpan w:val="6"/>
          </w:tcPr>
          <w:p w14:paraId="106DD2B2" w14:textId="77777777" w:rsidR="003869CD" w:rsidRDefault="003869CD" w:rsidP="003869CD">
            <w:pPr>
              <w:pStyle w:val="LSForComment"/>
            </w:pPr>
          </w:p>
        </w:tc>
      </w:tr>
      <w:tr w:rsidR="003869CD" w:rsidRPr="00D513A3" w14:paraId="702EBDEB" w14:textId="77777777" w:rsidTr="004D2B21">
        <w:trPr>
          <w:cantSplit/>
          <w:trHeight w:val="357"/>
        </w:trPr>
        <w:tc>
          <w:tcPr>
            <w:tcW w:w="2159" w:type="dxa"/>
            <w:gridSpan w:val="3"/>
          </w:tcPr>
          <w:p w14:paraId="7C67B045" w14:textId="77777777" w:rsidR="003869CD" w:rsidRPr="003869CD" w:rsidRDefault="003869CD" w:rsidP="003869CD">
            <w:pPr>
              <w:rPr>
                <w:b/>
                <w:bCs/>
              </w:rPr>
            </w:pPr>
            <w:bookmarkStart w:id="10" w:name="_GoBack" w:colFirst="2" w:colLast="2"/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64" w:type="dxa"/>
            <w:gridSpan w:val="6"/>
          </w:tcPr>
          <w:p w14:paraId="30E22EEB" w14:textId="14EEB218" w:rsidR="003869CD" w:rsidRPr="004E6C9E" w:rsidRDefault="004C57D0" w:rsidP="003869CD">
            <w:pPr>
              <w:pStyle w:val="LSForInfo"/>
              <w:rPr>
                <w:lang w:val="fr-CH"/>
              </w:rPr>
            </w:pPr>
            <w:r w:rsidRPr="004E6C9E">
              <w:rPr>
                <w:lang w:val="fr-CH"/>
              </w:rPr>
              <w:t>VQEG, ITU-T SG 9, 3GPP SA4,</w:t>
            </w:r>
          </w:p>
        </w:tc>
      </w:tr>
      <w:bookmarkEnd w:id="10"/>
      <w:tr w:rsidR="003869CD" w:rsidRPr="004E6C9E" w14:paraId="334A3641" w14:textId="77777777" w:rsidTr="004D2B21">
        <w:trPr>
          <w:cantSplit/>
          <w:trHeight w:val="357"/>
        </w:trPr>
        <w:tc>
          <w:tcPr>
            <w:tcW w:w="2159" w:type="dxa"/>
            <w:gridSpan w:val="3"/>
          </w:tcPr>
          <w:p w14:paraId="4C38C453" w14:textId="77777777" w:rsidR="003869CD" w:rsidRDefault="003869CD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64" w:type="dxa"/>
            <w:gridSpan w:val="6"/>
          </w:tcPr>
          <w:p w14:paraId="38D089FB" w14:textId="755B7C38" w:rsidR="003869CD" w:rsidRPr="004E6C9E" w:rsidRDefault="00C80CD9">
            <w:pPr>
              <w:rPr>
                <w:b/>
                <w:bCs/>
                <w:lang w:val="fr-CH"/>
              </w:rPr>
            </w:pPr>
            <w:r w:rsidRPr="004E6C9E">
              <w:rPr>
                <w:b/>
                <w:bCs/>
                <w:lang w:val="fr-CH"/>
              </w:rPr>
              <w:t>ITU-T SG 12</w:t>
            </w:r>
            <w:r w:rsidR="003A3058" w:rsidRPr="004E6C9E">
              <w:rPr>
                <w:b/>
                <w:bCs/>
                <w:lang w:val="fr-CH"/>
              </w:rPr>
              <w:t xml:space="preserve"> WP2 &amp; WP3</w:t>
            </w:r>
            <w:r w:rsidR="004E6C9E">
              <w:rPr>
                <w:b/>
                <w:bCs/>
                <w:lang w:val="fr-CH"/>
              </w:rPr>
              <w:t xml:space="preserve"> (Munich, 20 </w:t>
            </w:r>
            <w:proofErr w:type="spellStart"/>
            <w:r w:rsidR="004E6C9E">
              <w:rPr>
                <w:b/>
                <w:bCs/>
                <w:lang w:val="fr-CH"/>
              </w:rPr>
              <w:t>October</w:t>
            </w:r>
            <w:proofErr w:type="spellEnd"/>
            <w:r w:rsidR="004E6C9E">
              <w:rPr>
                <w:b/>
                <w:bCs/>
                <w:lang w:val="fr-CH"/>
              </w:rPr>
              <w:t xml:space="preserve"> 2016)</w:t>
            </w:r>
          </w:p>
        </w:tc>
      </w:tr>
      <w:tr w:rsidR="003869CD" w14:paraId="1882F81B" w14:textId="77777777" w:rsidTr="004D2B21">
        <w:trPr>
          <w:cantSplit/>
          <w:trHeight w:val="357"/>
        </w:trPr>
        <w:tc>
          <w:tcPr>
            <w:tcW w:w="2159" w:type="dxa"/>
            <w:gridSpan w:val="3"/>
            <w:tcBorders>
              <w:bottom w:val="single" w:sz="12" w:space="0" w:color="auto"/>
            </w:tcBorders>
          </w:tcPr>
          <w:p w14:paraId="41102DCF" w14:textId="77777777" w:rsidR="003869CD" w:rsidRDefault="003869CD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64" w:type="dxa"/>
            <w:gridSpan w:val="6"/>
            <w:tcBorders>
              <w:bottom w:val="single" w:sz="12" w:space="0" w:color="auto"/>
            </w:tcBorders>
          </w:tcPr>
          <w:p w14:paraId="24BA4201" w14:textId="16DE3D4C" w:rsidR="003869CD" w:rsidRDefault="004E6C9E" w:rsidP="003869CD">
            <w:pPr>
              <w:pStyle w:val="LSDeadline"/>
            </w:pPr>
            <w:r>
              <w:t>-</w:t>
            </w:r>
          </w:p>
        </w:tc>
      </w:tr>
      <w:tr w:rsidR="00C80CD9" w:rsidRPr="004E336B" w14:paraId="5CD8D0B0" w14:textId="77777777" w:rsidTr="004D2B21">
        <w:trPr>
          <w:cantSplit/>
          <w:trHeight w:val="204"/>
        </w:trPr>
        <w:tc>
          <w:tcPr>
            <w:tcW w:w="1607" w:type="dxa"/>
            <w:gridSpan w:val="2"/>
            <w:tcBorders>
              <w:top w:val="single" w:sz="12" w:space="0" w:color="auto"/>
            </w:tcBorders>
          </w:tcPr>
          <w:p w14:paraId="7374F22E" w14:textId="43F91EB6" w:rsidR="00C80CD9" w:rsidRDefault="00C80CD9">
            <w:pPr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  <w:r w:rsidR="00D95D58">
              <w:rPr>
                <w:b/>
                <w:bCs/>
              </w:rPr>
              <w:t>s</w:t>
            </w:r>
            <w:r>
              <w:rPr>
                <w:b/>
                <w:bCs/>
              </w:rPr>
              <w:t>:</w:t>
            </w:r>
          </w:p>
        </w:tc>
        <w:tc>
          <w:tcPr>
            <w:tcW w:w="4489" w:type="dxa"/>
            <w:gridSpan w:val="4"/>
            <w:tcBorders>
              <w:top w:val="single" w:sz="12" w:space="0" w:color="auto"/>
            </w:tcBorders>
          </w:tcPr>
          <w:p w14:paraId="687BCEC3" w14:textId="428048CF" w:rsidR="00C80CD9" w:rsidRPr="00337BCA" w:rsidRDefault="00C80CD9" w:rsidP="004D2B21">
            <w:pPr>
              <w:rPr>
                <w:sz w:val="22"/>
                <w:szCs w:val="22"/>
                <w:lang w:val="fr-CH"/>
              </w:rPr>
            </w:pPr>
            <w:r w:rsidRPr="00337BCA">
              <w:rPr>
                <w:sz w:val="22"/>
                <w:szCs w:val="22"/>
                <w:lang w:val="fr-CH"/>
              </w:rPr>
              <w:t>A</w:t>
            </w:r>
            <w:r w:rsidR="000B65A4" w:rsidRPr="00337BCA">
              <w:rPr>
                <w:sz w:val="22"/>
                <w:szCs w:val="22"/>
                <w:lang w:val="fr-CH"/>
              </w:rPr>
              <w:t xml:space="preserve">l </w:t>
            </w:r>
            <w:r w:rsidRPr="00337BCA">
              <w:rPr>
                <w:sz w:val="22"/>
                <w:szCs w:val="22"/>
                <w:lang w:val="fr-CH"/>
              </w:rPr>
              <w:t xml:space="preserve">Morton, </w:t>
            </w:r>
            <w:r w:rsidR="009A0971" w:rsidRPr="00337BCA">
              <w:rPr>
                <w:sz w:val="22"/>
                <w:szCs w:val="22"/>
                <w:lang w:val="fr-CH"/>
              </w:rPr>
              <w:t>SG12 Vice Chair, Rapporteur</w:t>
            </w:r>
            <w:r w:rsidRPr="00337BCA">
              <w:rPr>
                <w:sz w:val="22"/>
                <w:szCs w:val="22"/>
                <w:lang w:val="fr-CH"/>
              </w:rPr>
              <w:t xml:space="preserve"> Q17</w:t>
            </w:r>
            <w:r w:rsidRPr="00337BCA">
              <w:rPr>
                <w:sz w:val="22"/>
                <w:szCs w:val="22"/>
                <w:lang w:val="fr-CH"/>
              </w:rPr>
              <w:br/>
              <w:t>AT&amp;T</w:t>
            </w:r>
            <w:r w:rsidRPr="00337BCA">
              <w:rPr>
                <w:sz w:val="22"/>
                <w:szCs w:val="22"/>
                <w:lang w:val="fr-CH"/>
              </w:rPr>
              <w:br/>
              <w:t>USA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</w:tcBorders>
          </w:tcPr>
          <w:p w14:paraId="70B7F903" w14:textId="5B40AC1A" w:rsidR="00C80CD9" w:rsidRPr="00337BCA" w:rsidRDefault="00C80CD9" w:rsidP="004D2B21">
            <w:pPr>
              <w:rPr>
                <w:sz w:val="22"/>
                <w:szCs w:val="22"/>
                <w:lang w:val="fr-CH"/>
              </w:rPr>
            </w:pPr>
            <w:proofErr w:type="gramStart"/>
            <w:r w:rsidRPr="00337BCA">
              <w:rPr>
                <w:sz w:val="22"/>
                <w:szCs w:val="22"/>
                <w:lang w:val="fr-CH"/>
              </w:rPr>
              <w:t>Tel:</w:t>
            </w:r>
            <w:proofErr w:type="gramEnd"/>
            <w:r w:rsidRPr="00337BCA">
              <w:rPr>
                <w:sz w:val="22"/>
                <w:szCs w:val="22"/>
                <w:lang w:val="fr-CH"/>
              </w:rPr>
              <w:t xml:space="preserve"> </w:t>
            </w:r>
            <w:r w:rsidR="004E336B" w:rsidRPr="00337BCA">
              <w:rPr>
                <w:sz w:val="22"/>
                <w:szCs w:val="22"/>
                <w:lang w:val="fr-CH"/>
              </w:rPr>
              <w:tab/>
            </w:r>
            <w:r w:rsidRPr="00337BCA">
              <w:rPr>
                <w:sz w:val="22"/>
                <w:szCs w:val="22"/>
                <w:lang w:val="fr-CH"/>
              </w:rPr>
              <w:t>+1 732 420 1571</w:t>
            </w:r>
            <w:r w:rsidRPr="00337BCA">
              <w:rPr>
                <w:sz w:val="22"/>
                <w:szCs w:val="22"/>
                <w:lang w:val="fr-CH"/>
              </w:rPr>
              <w:br/>
              <w:t xml:space="preserve">Email: </w:t>
            </w:r>
            <w:r w:rsidR="004E336B">
              <w:rPr>
                <w:sz w:val="22"/>
                <w:szCs w:val="22"/>
                <w:lang w:val="fr-CH"/>
              </w:rPr>
              <w:tab/>
            </w:r>
            <w:hyperlink r:id="rId8" w:history="1">
              <w:r w:rsidRPr="00337BCA">
                <w:rPr>
                  <w:rStyle w:val="Hyperlink"/>
                  <w:sz w:val="22"/>
                  <w:szCs w:val="22"/>
                  <w:lang w:val="fr-CH"/>
                </w:rPr>
                <w:t>acmorton@att.com</w:t>
              </w:r>
            </w:hyperlink>
            <w:r w:rsidRPr="00337BCA">
              <w:rPr>
                <w:sz w:val="22"/>
                <w:szCs w:val="22"/>
                <w:lang w:val="fr-CH"/>
              </w:rPr>
              <w:t xml:space="preserve"> </w:t>
            </w:r>
          </w:p>
        </w:tc>
      </w:tr>
      <w:tr w:rsidR="000B65A4" w:rsidRPr="004E336B" w14:paraId="39DC1884" w14:textId="77777777" w:rsidTr="004D2B21">
        <w:trPr>
          <w:cantSplit/>
          <w:trHeight w:val="204"/>
        </w:trPr>
        <w:tc>
          <w:tcPr>
            <w:tcW w:w="1607" w:type="dxa"/>
            <w:gridSpan w:val="2"/>
            <w:tcBorders>
              <w:top w:val="single" w:sz="12" w:space="0" w:color="auto"/>
            </w:tcBorders>
          </w:tcPr>
          <w:p w14:paraId="04CADFA9" w14:textId="42B72F24" w:rsidR="000B65A4" w:rsidRDefault="000B65A4">
            <w:pPr>
              <w:rPr>
                <w:b/>
                <w:bCs/>
                <w:lang w:val="fr-CH"/>
              </w:rPr>
            </w:pPr>
          </w:p>
        </w:tc>
        <w:tc>
          <w:tcPr>
            <w:tcW w:w="4489" w:type="dxa"/>
            <w:gridSpan w:val="4"/>
            <w:tcBorders>
              <w:top w:val="single" w:sz="12" w:space="0" w:color="auto"/>
            </w:tcBorders>
          </w:tcPr>
          <w:p w14:paraId="1E06F798" w14:textId="251DE4DC" w:rsidR="000B65A4" w:rsidRPr="00337BCA" w:rsidRDefault="000B65A4" w:rsidP="0003373D">
            <w:pPr>
              <w:spacing w:before="0"/>
              <w:rPr>
                <w:sz w:val="22"/>
                <w:szCs w:val="22"/>
                <w:lang w:val="fr-CH" w:eastAsia="ja-JP"/>
              </w:rPr>
            </w:pPr>
            <w:r w:rsidRPr="00337BCA">
              <w:rPr>
                <w:sz w:val="22"/>
                <w:szCs w:val="22"/>
                <w:lang w:val="fr-CH" w:eastAsia="ja-JP"/>
              </w:rPr>
              <w:t xml:space="preserve">Akira Takahashi, </w:t>
            </w:r>
            <w:r w:rsidRPr="00337BCA">
              <w:rPr>
                <w:sz w:val="22"/>
                <w:szCs w:val="22"/>
                <w:lang w:val="fr-CH"/>
              </w:rPr>
              <w:t>SG12 Vice Chair, Rapporteur Q13</w:t>
            </w:r>
          </w:p>
          <w:p w14:paraId="0C553A1E" w14:textId="77777777" w:rsidR="000B65A4" w:rsidRPr="00337BCA" w:rsidRDefault="000B65A4" w:rsidP="0003373D">
            <w:pPr>
              <w:spacing w:before="0"/>
              <w:rPr>
                <w:sz w:val="22"/>
                <w:szCs w:val="22"/>
                <w:lang w:val="fr-CH" w:eastAsia="ja-JP"/>
              </w:rPr>
            </w:pPr>
            <w:r w:rsidRPr="00337BCA">
              <w:rPr>
                <w:sz w:val="22"/>
                <w:szCs w:val="22"/>
                <w:lang w:val="fr-CH" w:eastAsia="ja-JP"/>
              </w:rPr>
              <w:t>NTT</w:t>
            </w:r>
          </w:p>
          <w:p w14:paraId="41D71FC5" w14:textId="38EBE3AB" w:rsidR="000B65A4" w:rsidRPr="00337BCA" w:rsidRDefault="000B65A4">
            <w:pPr>
              <w:spacing w:before="0"/>
              <w:rPr>
                <w:sz w:val="22"/>
                <w:szCs w:val="22"/>
                <w:lang w:val="fr-CH"/>
              </w:rPr>
            </w:pPr>
            <w:proofErr w:type="spellStart"/>
            <w:r w:rsidRPr="00337BCA">
              <w:rPr>
                <w:sz w:val="22"/>
                <w:szCs w:val="22"/>
                <w:lang w:val="fr-CH" w:eastAsia="ja-JP"/>
              </w:rPr>
              <w:t>Japan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12" w:space="0" w:color="auto"/>
            </w:tcBorders>
          </w:tcPr>
          <w:p w14:paraId="538ED5C4" w14:textId="5B174506" w:rsidR="000B65A4" w:rsidRPr="00337BCA" w:rsidRDefault="000B65A4" w:rsidP="0003373D">
            <w:pPr>
              <w:spacing w:before="0"/>
              <w:rPr>
                <w:sz w:val="22"/>
                <w:szCs w:val="22"/>
                <w:lang w:val="de-DE" w:eastAsia="ja-JP"/>
              </w:rPr>
            </w:pPr>
            <w:r w:rsidRPr="00337BCA">
              <w:rPr>
                <w:sz w:val="22"/>
                <w:szCs w:val="22"/>
                <w:lang w:val="de-DE"/>
              </w:rPr>
              <w:t>Tel:</w:t>
            </w:r>
            <w:r w:rsidRPr="00337BCA">
              <w:rPr>
                <w:sz w:val="22"/>
                <w:szCs w:val="22"/>
                <w:lang w:val="de-DE" w:eastAsia="ja-JP"/>
              </w:rPr>
              <w:t xml:space="preserve"> </w:t>
            </w:r>
            <w:r w:rsidR="004E336B">
              <w:rPr>
                <w:sz w:val="22"/>
                <w:szCs w:val="22"/>
                <w:lang w:val="de-DE" w:eastAsia="ja-JP"/>
              </w:rPr>
              <w:tab/>
            </w:r>
            <w:r w:rsidRPr="00337BCA">
              <w:rPr>
                <w:sz w:val="22"/>
                <w:szCs w:val="22"/>
                <w:lang w:val="de-DE" w:eastAsia="ja-JP"/>
              </w:rPr>
              <w:t>+81-422-59-7188</w:t>
            </w:r>
          </w:p>
          <w:p w14:paraId="36ECEA0F" w14:textId="2035A511" w:rsidR="000B65A4" w:rsidRPr="00337BCA" w:rsidRDefault="000B65A4">
            <w:pPr>
              <w:spacing w:before="0"/>
              <w:rPr>
                <w:sz w:val="22"/>
                <w:szCs w:val="22"/>
                <w:lang w:val="de-DE"/>
              </w:rPr>
            </w:pPr>
            <w:r w:rsidRPr="00337BCA">
              <w:rPr>
                <w:sz w:val="22"/>
                <w:szCs w:val="22"/>
                <w:lang w:val="de-DE"/>
              </w:rPr>
              <w:t>Email:</w:t>
            </w:r>
            <w:r w:rsidR="004E336B" w:rsidRPr="00337BCA">
              <w:rPr>
                <w:sz w:val="22"/>
                <w:szCs w:val="22"/>
                <w:lang w:val="de-DE"/>
              </w:rPr>
              <w:t xml:space="preserve"> </w:t>
            </w:r>
            <w:r w:rsidR="004E336B">
              <w:rPr>
                <w:sz w:val="22"/>
                <w:szCs w:val="22"/>
                <w:lang w:val="de-DE"/>
              </w:rPr>
              <w:tab/>
            </w:r>
            <w:hyperlink r:id="rId9" w:history="1">
              <w:r w:rsidR="004E336B" w:rsidRPr="00337BCA">
                <w:rPr>
                  <w:rStyle w:val="Hyperlink"/>
                  <w:sz w:val="22"/>
                  <w:szCs w:val="22"/>
                </w:rPr>
                <w:t>takahashi.akira@lab.ntt.co.jp</w:t>
              </w:r>
            </w:hyperlink>
            <w:r w:rsidR="004E336B">
              <w:rPr>
                <w:sz w:val="22"/>
                <w:szCs w:val="22"/>
                <w:lang w:val="de-DE" w:eastAsia="ja-JP"/>
              </w:rPr>
              <w:t xml:space="preserve"> </w:t>
            </w:r>
          </w:p>
        </w:tc>
      </w:tr>
      <w:tr w:rsidR="000B65A4" w14:paraId="64147134" w14:textId="77777777" w:rsidTr="004D2B21">
        <w:trPr>
          <w:cantSplit/>
          <w:trHeight w:val="204"/>
        </w:trPr>
        <w:tc>
          <w:tcPr>
            <w:tcW w:w="1607" w:type="dxa"/>
            <w:gridSpan w:val="2"/>
            <w:tcBorders>
              <w:top w:val="single" w:sz="12" w:space="0" w:color="auto"/>
            </w:tcBorders>
          </w:tcPr>
          <w:p w14:paraId="4BA55C57" w14:textId="0898458F" w:rsidR="000B65A4" w:rsidRPr="00337BCA" w:rsidRDefault="000B65A4" w:rsidP="000A1D7E">
            <w:pPr>
              <w:rPr>
                <w:b/>
                <w:bCs/>
                <w:lang w:val="en-US"/>
              </w:rPr>
            </w:pPr>
          </w:p>
        </w:tc>
        <w:tc>
          <w:tcPr>
            <w:tcW w:w="4489" w:type="dxa"/>
            <w:gridSpan w:val="4"/>
            <w:tcBorders>
              <w:top w:val="single" w:sz="12" w:space="0" w:color="auto"/>
            </w:tcBorders>
          </w:tcPr>
          <w:p w14:paraId="60B98D61" w14:textId="70FFEFBA" w:rsidR="000B65A4" w:rsidRPr="00337BCA" w:rsidRDefault="000B65A4" w:rsidP="0003373D">
            <w:pPr>
              <w:rPr>
                <w:sz w:val="22"/>
                <w:szCs w:val="22"/>
                <w:lang w:val="en-US"/>
              </w:rPr>
            </w:pPr>
            <w:proofErr w:type="spellStart"/>
            <w:r w:rsidRPr="00337BCA">
              <w:rPr>
                <w:sz w:val="22"/>
                <w:szCs w:val="22"/>
                <w:lang w:val="en-US"/>
              </w:rPr>
              <w:t>Jörgen</w:t>
            </w:r>
            <w:proofErr w:type="spellEnd"/>
            <w:r w:rsidR="004E336B" w:rsidRPr="00337BC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37BCA">
              <w:rPr>
                <w:sz w:val="22"/>
                <w:szCs w:val="22"/>
                <w:lang w:val="en-US"/>
              </w:rPr>
              <w:t>Gustafsson</w:t>
            </w:r>
            <w:proofErr w:type="spellEnd"/>
            <w:r w:rsidRPr="00337BCA">
              <w:rPr>
                <w:sz w:val="22"/>
                <w:szCs w:val="22"/>
                <w:lang w:val="en-US"/>
              </w:rPr>
              <w:t>, Co-Rapporteur Q14</w:t>
            </w:r>
            <w:r w:rsidRPr="00337BCA">
              <w:rPr>
                <w:sz w:val="22"/>
                <w:szCs w:val="22"/>
                <w:lang w:val="en-US"/>
              </w:rPr>
              <w:br/>
              <w:t>Ericsson Research, L.M. Ericsson</w:t>
            </w:r>
          </w:p>
          <w:p w14:paraId="75023B75" w14:textId="179656F1" w:rsidR="000B65A4" w:rsidRPr="00337BCA" w:rsidRDefault="000B65A4" w:rsidP="000A1D7E">
            <w:pPr>
              <w:spacing w:before="0"/>
              <w:rPr>
                <w:sz w:val="22"/>
                <w:szCs w:val="22"/>
              </w:rPr>
            </w:pPr>
            <w:r w:rsidRPr="00337BCA">
              <w:rPr>
                <w:sz w:val="22"/>
                <w:szCs w:val="22"/>
                <w:lang w:val="en-US"/>
              </w:rPr>
              <w:t>Sweden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</w:tcBorders>
          </w:tcPr>
          <w:p w14:paraId="3DB50A01" w14:textId="06E1858C" w:rsidR="000B65A4" w:rsidRPr="00337BCA" w:rsidRDefault="000B65A4" w:rsidP="0003373D">
            <w:pPr>
              <w:rPr>
                <w:sz w:val="22"/>
                <w:szCs w:val="22"/>
                <w:lang w:val="en-US"/>
              </w:rPr>
            </w:pPr>
            <w:r w:rsidRPr="00337BCA">
              <w:rPr>
                <w:sz w:val="22"/>
                <w:szCs w:val="22"/>
                <w:lang w:val="en-US"/>
              </w:rPr>
              <w:t xml:space="preserve">Tel: </w:t>
            </w:r>
            <w:r w:rsidR="004E336B">
              <w:rPr>
                <w:sz w:val="22"/>
                <w:szCs w:val="22"/>
                <w:lang w:val="en-US"/>
              </w:rPr>
              <w:tab/>
            </w:r>
            <w:r w:rsidRPr="00337BCA">
              <w:rPr>
                <w:sz w:val="22"/>
                <w:szCs w:val="22"/>
                <w:lang w:val="en-US"/>
              </w:rPr>
              <w:t>+46 10 7143015</w:t>
            </w:r>
          </w:p>
          <w:p w14:paraId="2B292245" w14:textId="32A30C39" w:rsidR="000B65A4" w:rsidRPr="00337BCA" w:rsidRDefault="000B65A4" w:rsidP="000A1D7E">
            <w:pPr>
              <w:spacing w:before="0"/>
              <w:rPr>
                <w:sz w:val="22"/>
                <w:szCs w:val="22"/>
              </w:rPr>
            </w:pPr>
            <w:r w:rsidRPr="00337BCA">
              <w:rPr>
                <w:sz w:val="22"/>
                <w:szCs w:val="22"/>
                <w:lang w:val="en-US"/>
              </w:rPr>
              <w:t xml:space="preserve">Email: </w:t>
            </w:r>
            <w:r w:rsidR="004E336B">
              <w:rPr>
                <w:sz w:val="22"/>
                <w:szCs w:val="22"/>
                <w:lang w:val="en-US"/>
              </w:rPr>
              <w:tab/>
            </w:r>
            <w:hyperlink r:id="rId10" w:history="1">
              <w:r w:rsidR="004D2B21" w:rsidRPr="00337BCA">
                <w:rPr>
                  <w:rStyle w:val="Hyperlink"/>
                  <w:sz w:val="22"/>
                  <w:szCs w:val="22"/>
                  <w:lang w:val="en-US"/>
                </w:rPr>
                <w:t>jorgen.gustafsson@ericsson.com</w:t>
              </w:r>
            </w:hyperlink>
            <w:r w:rsidR="004D2B21" w:rsidRPr="00337BCA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0B65A4" w14:paraId="09C758DC" w14:textId="77777777" w:rsidTr="004D2B21">
        <w:trPr>
          <w:cantSplit/>
          <w:trHeight w:val="204"/>
        </w:trPr>
        <w:tc>
          <w:tcPr>
            <w:tcW w:w="1607" w:type="dxa"/>
            <w:gridSpan w:val="2"/>
            <w:tcBorders>
              <w:top w:val="single" w:sz="12" w:space="0" w:color="auto"/>
            </w:tcBorders>
          </w:tcPr>
          <w:p w14:paraId="7F47C44F" w14:textId="54B12B61" w:rsidR="000B65A4" w:rsidRDefault="000B65A4" w:rsidP="000A1D7E">
            <w:pPr>
              <w:rPr>
                <w:b/>
                <w:bCs/>
                <w:lang w:val="fr-CH"/>
              </w:rPr>
            </w:pPr>
          </w:p>
        </w:tc>
        <w:tc>
          <w:tcPr>
            <w:tcW w:w="4489" w:type="dxa"/>
            <w:gridSpan w:val="4"/>
            <w:tcBorders>
              <w:top w:val="single" w:sz="12" w:space="0" w:color="auto"/>
            </w:tcBorders>
          </w:tcPr>
          <w:p w14:paraId="4F3ED8AC" w14:textId="1D1A9F33" w:rsidR="000B65A4" w:rsidRPr="00337BCA" w:rsidRDefault="000B65A4" w:rsidP="0003373D">
            <w:pPr>
              <w:rPr>
                <w:sz w:val="22"/>
                <w:szCs w:val="22"/>
                <w:lang w:val="sv-SE"/>
              </w:rPr>
            </w:pPr>
            <w:r w:rsidRPr="00337BCA">
              <w:rPr>
                <w:sz w:val="22"/>
                <w:szCs w:val="22"/>
                <w:lang w:val="sv-SE"/>
              </w:rPr>
              <w:t>Alexander Raake</w:t>
            </w:r>
            <w:r w:rsidRPr="00337BCA">
              <w:rPr>
                <w:sz w:val="22"/>
                <w:szCs w:val="22"/>
                <w:lang w:val="en-US"/>
              </w:rPr>
              <w:t>, Co-Rapporteur Q14</w:t>
            </w:r>
          </w:p>
          <w:p w14:paraId="390B2B5B" w14:textId="77777777" w:rsidR="000B65A4" w:rsidRPr="00337BCA" w:rsidRDefault="000B65A4" w:rsidP="0003373D">
            <w:pPr>
              <w:spacing w:before="0"/>
              <w:rPr>
                <w:sz w:val="22"/>
                <w:szCs w:val="22"/>
                <w:lang w:val="sv-SE"/>
              </w:rPr>
            </w:pPr>
            <w:r w:rsidRPr="00337BCA">
              <w:rPr>
                <w:sz w:val="22"/>
                <w:szCs w:val="22"/>
                <w:lang w:val="sv-SE"/>
              </w:rPr>
              <w:t>Deutsche Telekom AG, Laboratories</w:t>
            </w:r>
          </w:p>
          <w:p w14:paraId="48823E5B" w14:textId="3127E058" w:rsidR="000B65A4" w:rsidRPr="00337BCA" w:rsidRDefault="000B65A4" w:rsidP="000A1D7E">
            <w:pPr>
              <w:spacing w:before="0"/>
              <w:rPr>
                <w:sz w:val="22"/>
                <w:szCs w:val="22"/>
              </w:rPr>
            </w:pPr>
            <w:r w:rsidRPr="00337BCA">
              <w:rPr>
                <w:sz w:val="22"/>
                <w:szCs w:val="22"/>
                <w:lang w:val="en-US"/>
              </w:rPr>
              <w:t>Germany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</w:tcBorders>
          </w:tcPr>
          <w:p w14:paraId="59E47C96" w14:textId="3418A247" w:rsidR="000B65A4" w:rsidRPr="00337BCA" w:rsidRDefault="000B65A4" w:rsidP="0003373D">
            <w:pPr>
              <w:rPr>
                <w:sz w:val="22"/>
                <w:szCs w:val="22"/>
                <w:lang w:val="en-US"/>
              </w:rPr>
            </w:pPr>
            <w:r w:rsidRPr="00337BCA">
              <w:rPr>
                <w:sz w:val="22"/>
                <w:szCs w:val="22"/>
                <w:lang w:val="en-US"/>
              </w:rPr>
              <w:t xml:space="preserve">Tel: </w:t>
            </w:r>
            <w:r w:rsidR="004E336B">
              <w:rPr>
                <w:sz w:val="22"/>
                <w:szCs w:val="22"/>
                <w:lang w:val="en-US"/>
              </w:rPr>
              <w:tab/>
            </w:r>
            <w:r w:rsidRPr="00337BCA">
              <w:rPr>
                <w:sz w:val="22"/>
                <w:szCs w:val="22"/>
                <w:lang w:val="en-US"/>
              </w:rPr>
              <w:t>+49-30-835358462</w:t>
            </w:r>
          </w:p>
          <w:p w14:paraId="2D8C6188" w14:textId="301640C8" w:rsidR="000B65A4" w:rsidRPr="00337BCA" w:rsidRDefault="000B65A4" w:rsidP="0003373D">
            <w:pPr>
              <w:spacing w:before="0"/>
              <w:rPr>
                <w:sz w:val="22"/>
                <w:szCs w:val="22"/>
                <w:lang w:val="en-US"/>
              </w:rPr>
            </w:pPr>
            <w:r w:rsidRPr="00337BCA">
              <w:rPr>
                <w:sz w:val="22"/>
                <w:szCs w:val="22"/>
                <w:lang w:val="en-US"/>
              </w:rPr>
              <w:t xml:space="preserve">Fax: </w:t>
            </w:r>
            <w:r w:rsidR="004E336B">
              <w:rPr>
                <w:sz w:val="22"/>
                <w:szCs w:val="22"/>
                <w:lang w:val="en-US"/>
              </w:rPr>
              <w:tab/>
            </w:r>
            <w:r w:rsidRPr="00337BCA">
              <w:rPr>
                <w:sz w:val="22"/>
                <w:szCs w:val="22"/>
                <w:lang w:val="en-US"/>
              </w:rPr>
              <w:t>+49-30-835358409</w:t>
            </w:r>
          </w:p>
          <w:p w14:paraId="010A78C2" w14:textId="60BFFAF7" w:rsidR="000B65A4" w:rsidRPr="00337BCA" w:rsidRDefault="000B65A4" w:rsidP="000A1D7E">
            <w:pPr>
              <w:spacing w:before="0"/>
              <w:rPr>
                <w:sz w:val="22"/>
                <w:szCs w:val="22"/>
              </w:rPr>
            </w:pPr>
            <w:r w:rsidRPr="00337BCA">
              <w:rPr>
                <w:sz w:val="22"/>
                <w:szCs w:val="22"/>
                <w:lang w:val="en-US"/>
              </w:rPr>
              <w:t xml:space="preserve">Email: </w:t>
            </w:r>
            <w:r w:rsidR="004E336B">
              <w:rPr>
                <w:sz w:val="22"/>
                <w:szCs w:val="22"/>
                <w:lang w:val="en-US"/>
              </w:rPr>
              <w:tab/>
            </w:r>
            <w:hyperlink r:id="rId11" w:history="1">
              <w:r w:rsidR="004D2B21" w:rsidRPr="00337BCA">
                <w:rPr>
                  <w:rStyle w:val="Hyperlink"/>
                  <w:sz w:val="22"/>
                  <w:szCs w:val="22"/>
                  <w:lang w:val="en-US"/>
                </w:rPr>
                <w:t>alexander.raake@telekom.de</w:t>
              </w:r>
            </w:hyperlink>
            <w:r w:rsidR="004D2B21" w:rsidRPr="00337BCA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0B65A4" w14:paraId="46126063" w14:textId="77777777" w:rsidTr="003869CD">
        <w:trPr>
          <w:cantSplit/>
          <w:trHeight w:val="204"/>
        </w:trPr>
        <w:tc>
          <w:tcPr>
            <w:tcW w:w="9923" w:type="dxa"/>
            <w:gridSpan w:val="9"/>
            <w:tcBorders>
              <w:top w:val="single" w:sz="12" w:space="0" w:color="auto"/>
            </w:tcBorders>
          </w:tcPr>
          <w:p w14:paraId="3FA8B41C" w14:textId="77777777" w:rsidR="000B65A4" w:rsidRDefault="000B65A4">
            <w:pPr>
              <w:spacing w:before="0"/>
              <w:rPr>
                <w:sz w:val="18"/>
              </w:rPr>
            </w:pPr>
            <w:r>
              <w:rPr>
                <w:sz w:val="18"/>
              </w:rPr>
              <w:t xml:space="preserve">Please </w:t>
            </w:r>
            <w:proofErr w:type="gramStart"/>
            <w:r>
              <w:rPr>
                <w:sz w:val="18"/>
              </w:rPr>
              <w:t>don’t</w:t>
            </w:r>
            <w:proofErr w:type="gramEnd"/>
            <w:r>
              <w:rPr>
                <w:sz w:val="18"/>
              </w:rPr>
              <w:t xml:space="preserve"> change the structure of this table, just insert the necessary information.</w:t>
            </w:r>
          </w:p>
        </w:tc>
      </w:tr>
    </w:tbl>
    <w:p w14:paraId="4A089FC3" w14:textId="77777777" w:rsidR="009F5CAB" w:rsidRDefault="009F5CAB"/>
    <w:p w14:paraId="47E5E7F6" w14:textId="1597CCFF" w:rsidR="00D85BF6" w:rsidRDefault="00D85BF6" w:rsidP="004E336B">
      <w:r>
        <w:t>ITU-T Study Group 12 has recognized that your organization</w:t>
      </w:r>
      <w:r w:rsidR="004C57D0">
        <w:t>s</w:t>
      </w:r>
      <w:r>
        <w:t xml:space="preserve"> ha</w:t>
      </w:r>
      <w:r w:rsidR="004C57D0">
        <w:t>ve</w:t>
      </w:r>
      <w:r>
        <w:t xml:space="preserve"> begun (or intend to begin) work on metrics for streaming media delivery quality. We </w:t>
      </w:r>
      <w:r w:rsidR="00771861">
        <w:t>would like to draw your attention to</w:t>
      </w:r>
      <w:r>
        <w:t xml:space="preserve"> </w:t>
      </w:r>
      <w:r w:rsidR="00771861">
        <w:t>the following</w:t>
      </w:r>
      <w:r>
        <w:t xml:space="preserve"> existing </w:t>
      </w:r>
      <w:r w:rsidR="00771861">
        <w:t xml:space="preserve">ITU-T </w:t>
      </w:r>
      <w:r>
        <w:t>Recommendations and work in progress</w:t>
      </w:r>
      <w:r w:rsidR="00771861">
        <w:t xml:space="preserve">, which we believe </w:t>
      </w:r>
      <w:r>
        <w:t xml:space="preserve">will help to unify terms and definitions and </w:t>
      </w:r>
      <w:r w:rsidR="00771861">
        <w:t xml:space="preserve">coordinate </w:t>
      </w:r>
      <w:proofErr w:type="gramStart"/>
      <w:r w:rsidR="00771861">
        <w:t>future</w:t>
      </w:r>
      <w:r>
        <w:t xml:space="preserve"> performance assessment work</w:t>
      </w:r>
      <w:proofErr w:type="gramEnd"/>
      <w:r>
        <w:t>.</w:t>
      </w:r>
    </w:p>
    <w:p w14:paraId="5A00A653" w14:textId="3B5FEBE8" w:rsidR="00D85BF6" w:rsidRDefault="00420125" w:rsidP="00D85BF6">
      <w:pPr>
        <w:pStyle w:val="ListParagraph"/>
        <w:numPr>
          <w:ilvl w:val="0"/>
          <w:numId w:val="6"/>
        </w:numPr>
      </w:pPr>
      <w:r>
        <w:t xml:space="preserve">Definitions of </w:t>
      </w:r>
      <w:proofErr w:type="spellStart"/>
      <w:r w:rsidR="00D85BF6">
        <w:t>QoE</w:t>
      </w:r>
      <w:proofErr w:type="spellEnd"/>
      <w:r w:rsidR="00D85BF6">
        <w:t xml:space="preserve"> in Recomme</w:t>
      </w:r>
      <w:r w:rsidR="00D13B2E">
        <w:t xml:space="preserve">ndation </w:t>
      </w:r>
      <w:r w:rsidR="004E336B">
        <w:t xml:space="preserve">ITU-T </w:t>
      </w:r>
      <w:r w:rsidR="00D13B2E">
        <w:t>P.10/G.100, Amendment 5</w:t>
      </w:r>
      <w:r w:rsidR="00C9570E">
        <w:t xml:space="preserve">. In the ITU-T definition, user opinion is an essential component of </w:t>
      </w:r>
      <w:proofErr w:type="spellStart"/>
      <w:r w:rsidR="00C9570E">
        <w:t>QoE</w:t>
      </w:r>
      <w:proofErr w:type="spellEnd"/>
      <w:r w:rsidR="00C9570E">
        <w:t xml:space="preserve">, but more comprehensive </w:t>
      </w:r>
      <w:proofErr w:type="spellStart"/>
      <w:r w:rsidR="00C9570E">
        <w:t>QoE</w:t>
      </w:r>
      <w:proofErr w:type="spellEnd"/>
      <w:r w:rsidR="00C9570E">
        <w:t xml:space="preserve"> Assessments add many other </w:t>
      </w:r>
      <w:proofErr w:type="spellStart"/>
      <w:r w:rsidR="00C9570E">
        <w:t>QoE</w:t>
      </w:r>
      <w:proofErr w:type="spellEnd"/>
      <w:r w:rsidR="00C9570E">
        <w:t xml:space="preserve"> Influencing Factors.</w:t>
      </w:r>
    </w:p>
    <w:p w14:paraId="65F9B5D0" w14:textId="69E9FB18" w:rsidR="00D85BF6" w:rsidRDefault="00D85BF6" w:rsidP="00D85BF6">
      <w:pPr>
        <w:pStyle w:val="ListParagraph"/>
        <w:numPr>
          <w:ilvl w:val="0"/>
          <w:numId w:val="6"/>
        </w:numPr>
      </w:pPr>
      <w:r>
        <w:t xml:space="preserve">Recommendation </w:t>
      </w:r>
      <w:r w:rsidR="004E336B">
        <w:t xml:space="preserve">ITU-T </w:t>
      </w:r>
      <w:r>
        <w:t>G.1022, “</w:t>
      </w:r>
      <w:r w:rsidRPr="00D85BF6">
        <w:t>Buffer Models for Media Streams on TCP Transport</w:t>
      </w:r>
      <w:r>
        <w:t>”</w:t>
      </w:r>
      <w:r w:rsidR="000E3AF2">
        <w:t xml:space="preserve">, including definitions of Initial Buffering, Stalling, </w:t>
      </w:r>
      <w:r w:rsidR="009A0971">
        <w:t>Re-buffering events (available in pre-published form).</w:t>
      </w:r>
    </w:p>
    <w:p w14:paraId="79FE09C9" w14:textId="5052C36D" w:rsidR="00FC0382" w:rsidRDefault="00FC0382" w:rsidP="00D279C4">
      <w:pPr>
        <w:pStyle w:val="ListParagraph"/>
        <w:numPr>
          <w:ilvl w:val="0"/>
          <w:numId w:val="6"/>
        </w:numPr>
      </w:pPr>
      <w:r>
        <w:lastRenderedPageBreak/>
        <w:t xml:space="preserve">Recommendation </w:t>
      </w:r>
      <w:r w:rsidR="004E336B">
        <w:t xml:space="preserve">ITU-T </w:t>
      </w:r>
      <w:r>
        <w:t>P.</w:t>
      </w:r>
      <w:r w:rsidR="00D279C4">
        <w:t>120</w:t>
      </w:r>
      <w:r w:rsidR="00217D0C">
        <w:t>3</w:t>
      </w:r>
      <w:r>
        <w:t xml:space="preserve">, </w:t>
      </w:r>
      <w:r w:rsidR="00D279C4">
        <w:t>“</w:t>
      </w:r>
      <w:r w:rsidR="00D279C4" w:rsidRPr="00D279C4">
        <w:t xml:space="preserve">Parametric </w:t>
      </w:r>
      <w:proofErr w:type="spellStart"/>
      <w:r w:rsidR="00D279C4" w:rsidRPr="00D279C4">
        <w:t>bitstream</w:t>
      </w:r>
      <w:proofErr w:type="spellEnd"/>
      <w:r w:rsidR="00D279C4" w:rsidRPr="00D279C4">
        <w:t xml:space="preserve">-based quality </w:t>
      </w:r>
      <w:r w:rsidR="00A84796" w:rsidRPr="00D279C4">
        <w:t>assessment</w:t>
      </w:r>
      <w:r w:rsidR="00A84796">
        <w:t xml:space="preserve"> of progressive download and adaptive </w:t>
      </w:r>
      <w:proofErr w:type="spellStart"/>
      <w:r w:rsidR="00217D0C">
        <w:t>audiovisual</w:t>
      </w:r>
      <w:proofErr w:type="spellEnd"/>
      <w:r w:rsidR="00217D0C">
        <w:t xml:space="preserve"> </w:t>
      </w:r>
      <w:r w:rsidR="00A84796">
        <w:t xml:space="preserve">streaming </w:t>
      </w:r>
      <w:r w:rsidR="00217D0C">
        <w:t xml:space="preserve">services </w:t>
      </w:r>
      <w:r w:rsidR="00A84796">
        <w:t>over</w:t>
      </w:r>
      <w:r w:rsidR="00D279C4" w:rsidRPr="00D279C4">
        <w:t xml:space="preserve"> reliable transport</w:t>
      </w:r>
      <w:r w:rsidR="00217D0C">
        <w:t>”</w:t>
      </w:r>
      <w:r w:rsidR="00D279C4">
        <w:t xml:space="preserve"> and supporting modules</w:t>
      </w:r>
      <w:r w:rsidR="00217D0C">
        <w:t>. These Recommendations</w:t>
      </w:r>
      <w:r w:rsidR="00D279C4">
        <w:t xml:space="preserve"> </w:t>
      </w:r>
      <w:r w:rsidR="00217D0C">
        <w:t xml:space="preserve">were </w:t>
      </w:r>
      <w:proofErr w:type="gramStart"/>
      <w:r w:rsidR="00217D0C">
        <w:t>Consented</w:t>
      </w:r>
      <w:proofErr w:type="gramEnd"/>
      <w:r w:rsidR="00217D0C">
        <w:t xml:space="preserve"> </w:t>
      </w:r>
      <w:r w:rsidR="00D279C4">
        <w:t>recently</w:t>
      </w:r>
      <w:r w:rsidR="00217D0C">
        <w:t xml:space="preserve"> and have begun </w:t>
      </w:r>
      <w:r w:rsidR="00D279C4">
        <w:t xml:space="preserve">the approval process. These Recommendations </w:t>
      </w:r>
      <w:r w:rsidR="00A81AE2">
        <w:rPr>
          <w:lang w:val="en-US"/>
        </w:rPr>
        <w:t>provide an overview, and</w:t>
      </w:r>
      <w:r w:rsidR="00D279C4" w:rsidRPr="00816398">
        <w:rPr>
          <w:lang w:val="en-US"/>
        </w:rPr>
        <w:t xml:space="preserve"> a set of documents that describe model algorithms for monitoring the integral media session quality for TCP-type video streaming. The models comprise modules for short-term audio- and video-quality estimation</w:t>
      </w:r>
      <w:r w:rsidR="00217D0C">
        <w:rPr>
          <w:lang w:val="en-US"/>
        </w:rPr>
        <w:t xml:space="preserve"> and long-term aggregation</w:t>
      </w:r>
      <w:r w:rsidR="00D279C4" w:rsidRPr="00816398">
        <w:rPr>
          <w:lang w:val="en-US"/>
        </w:rPr>
        <w:t>.</w:t>
      </w:r>
    </w:p>
    <w:p w14:paraId="21CA5444" w14:textId="1220022B" w:rsidR="00FC0382" w:rsidRDefault="00C02499" w:rsidP="00FC0382">
      <w:pPr>
        <w:pStyle w:val="ListParagraph"/>
        <w:numPr>
          <w:ilvl w:val="0"/>
          <w:numId w:val="6"/>
        </w:numPr>
      </w:pPr>
      <w:r>
        <w:t xml:space="preserve">Recommendation </w:t>
      </w:r>
      <w:r w:rsidR="004E336B">
        <w:t xml:space="preserve">ITU-T </w:t>
      </w:r>
      <w:r>
        <w:t>G.1071, “</w:t>
      </w:r>
      <w:r w:rsidRPr="00095658">
        <w:t>Opinion model for network planning of video and audio streaming applications</w:t>
      </w:r>
      <w:r>
        <w:t xml:space="preserve">,” which provides models to estimate </w:t>
      </w:r>
      <w:proofErr w:type="spellStart"/>
      <w:r>
        <w:t>QoE</w:t>
      </w:r>
      <w:proofErr w:type="spellEnd"/>
      <w:r>
        <w:t xml:space="preserve"> of UDP-based video streaming applications, based on quality planning parameters, for high- and low-resolutions as Annexes A and B. In our October meeting, we further consented a new Annex C to extend the scope to H.265 (HEVC) codec.</w:t>
      </w:r>
    </w:p>
    <w:p w14:paraId="6CB1F7A8" w14:textId="77777777" w:rsidR="009A0971" w:rsidRDefault="00420125" w:rsidP="009A0971">
      <w:r>
        <w:t xml:space="preserve">We also believe that all organizations’ work in this area will be more efficient when the full breadth of work completed or in-progress is understood, and unnecessary overlaps can be avoided. </w:t>
      </w:r>
    </w:p>
    <w:p w14:paraId="471BF65F" w14:textId="2E07926C" w:rsidR="00D95D58" w:rsidRDefault="00D95D58" w:rsidP="00D95D58">
      <w:pPr>
        <w:jc w:val="center"/>
      </w:pPr>
      <w:r>
        <w:t>_________</w:t>
      </w:r>
    </w:p>
    <w:sectPr w:rsidR="00D95D58" w:rsidSect="004E6C9E">
      <w:headerReference w:type="default" r:id="rId12"/>
      <w:footerReference w:type="first" r:id="rId13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0387A" w14:textId="77777777" w:rsidR="003B0061" w:rsidRDefault="003B0061" w:rsidP="009F5CAB">
      <w:r>
        <w:separator/>
      </w:r>
    </w:p>
  </w:endnote>
  <w:endnote w:type="continuationSeparator" w:id="0">
    <w:p w14:paraId="4DA4F6C7" w14:textId="77777777" w:rsidR="003B0061" w:rsidRDefault="003B0061" w:rsidP="009F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Look w:val="0000" w:firstRow="0" w:lastRow="0" w:firstColumn="0" w:lastColumn="0" w:noHBand="0" w:noVBand="0"/>
    </w:tblPr>
    <w:tblGrid>
      <w:gridCol w:w="9923"/>
    </w:tblGrid>
    <w:tr w:rsidR="004E6C9E" w:rsidRPr="004E6C9E" w14:paraId="09EE6304" w14:textId="77777777">
      <w:trPr>
        <w:cantSplit/>
        <w:jc w:val="center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14:paraId="10BABE14" w14:textId="77777777" w:rsidR="004E6C9E" w:rsidRPr="004E6C9E" w:rsidRDefault="004E6C9E" w:rsidP="004E6C9E">
          <w:pPr>
            <w:spacing w:before="0"/>
            <w:rPr>
              <w:sz w:val="18"/>
            </w:rPr>
          </w:pPr>
          <w:r w:rsidRPr="004E6C9E">
            <w:rPr>
              <w:b/>
              <w:bCs/>
              <w:sz w:val="18"/>
            </w:rPr>
            <w:t>Attention:</w:t>
          </w:r>
          <w:r w:rsidRPr="004E6C9E">
            <w:rPr>
              <w:sz w:val="18"/>
            </w:rPr>
            <w:t xml:space="preserve"> Some or all of the material attached to this liaison statement may be subject to ITU copyright. In such a </w:t>
          </w:r>
          <w:proofErr w:type="gramStart"/>
          <w:r w:rsidRPr="004E6C9E">
            <w:rPr>
              <w:sz w:val="18"/>
            </w:rPr>
            <w:t>case</w:t>
          </w:r>
          <w:proofErr w:type="gramEnd"/>
          <w:r w:rsidRPr="004E6C9E">
            <w:rPr>
              <w:sz w:val="18"/>
            </w:rPr>
            <w:t xml:space="preserve"> this will be indicated in the individual document. </w:t>
          </w:r>
        </w:p>
        <w:p w14:paraId="671ACB19" w14:textId="77777777" w:rsidR="004E6C9E" w:rsidRPr="004E6C9E" w:rsidRDefault="004E6C9E" w:rsidP="004E6C9E">
          <w:pPr>
            <w:spacing w:before="0"/>
            <w:rPr>
              <w:sz w:val="18"/>
            </w:rPr>
          </w:pPr>
          <w:r w:rsidRPr="004E6C9E">
            <w:rPr>
              <w:sz w:val="18"/>
            </w:rPr>
            <w:t>Such a copyright does not prevent the use of the material for its intended purpose, but it prevents the reproduction of all or part of it in a publication without the authorization of ITU.</w:t>
          </w:r>
        </w:p>
      </w:tc>
    </w:tr>
  </w:tbl>
  <w:p w14:paraId="19593745" w14:textId="77777777" w:rsidR="004E6C9E" w:rsidRPr="004E6C9E" w:rsidRDefault="004E6C9E" w:rsidP="004E6C9E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0B43F" w14:textId="77777777" w:rsidR="003B0061" w:rsidRDefault="003B0061" w:rsidP="009F5CAB">
      <w:r>
        <w:separator/>
      </w:r>
    </w:p>
  </w:footnote>
  <w:footnote w:type="continuationSeparator" w:id="0">
    <w:p w14:paraId="0BD87932" w14:textId="77777777" w:rsidR="003B0061" w:rsidRDefault="003B0061" w:rsidP="009F5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7A394" w14:textId="20639EDC" w:rsidR="002E46DB" w:rsidRPr="004E6C9E" w:rsidRDefault="004E6C9E" w:rsidP="004E6C9E">
    <w:pPr>
      <w:pStyle w:val="Header"/>
    </w:pPr>
    <w:r w:rsidRPr="004E6C9E">
      <w:t xml:space="preserve">- </w:t>
    </w:r>
    <w:r w:rsidRPr="004E6C9E">
      <w:fldChar w:fldCharType="begin"/>
    </w:r>
    <w:r w:rsidRPr="004E6C9E">
      <w:instrText xml:space="preserve"> PAGE  \* MERGEFORMAT </w:instrText>
    </w:r>
    <w:r w:rsidRPr="004E6C9E">
      <w:fldChar w:fldCharType="separate"/>
    </w:r>
    <w:r w:rsidR="00D513A3">
      <w:rPr>
        <w:noProof/>
      </w:rPr>
      <w:t>2</w:t>
    </w:r>
    <w:r w:rsidRPr="004E6C9E">
      <w:fldChar w:fldCharType="end"/>
    </w:r>
    <w:r w:rsidRPr="004E6C9E">
      <w:t xml:space="preserve"> -</w:t>
    </w:r>
  </w:p>
  <w:p w14:paraId="28D210BA" w14:textId="2CECFAA7" w:rsidR="004E6C9E" w:rsidRPr="004E6C9E" w:rsidRDefault="004E6C9E" w:rsidP="004E6C9E">
    <w:pPr>
      <w:pStyle w:val="Header"/>
      <w:spacing w:after="240"/>
    </w:pPr>
    <w:r w:rsidRPr="004E6C9E">
      <w:fldChar w:fldCharType="begin"/>
    </w:r>
    <w:r w:rsidRPr="004E6C9E">
      <w:instrText xml:space="preserve"> STYLEREF  Docnumber  </w:instrText>
    </w:r>
    <w:r w:rsidRPr="004E6C9E">
      <w:fldChar w:fldCharType="separate"/>
    </w:r>
    <w:r w:rsidR="00D513A3">
      <w:rPr>
        <w:noProof/>
      </w:rPr>
      <w:t>COM 12 – LS 128 – E</w:t>
    </w:r>
    <w:r w:rsidRPr="004E6C9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A885B8D"/>
    <w:multiLevelType w:val="hybridMultilevel"/>
    <w:tmpl w:val="14BCC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activeWritingStyle w:appName="MSWord" w:lang="en-GB" w:vendorID="64" w:dllVersion="131078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AB"/>
    <w:rsid w:val="000B65A4"/>
    <w:rsid w:val="000E3AF2"/>
    <w:rsid w:val="00204A55"/>
    <w:rsid w:val="00217D0C"/>
    <w:rsid w:val="00226033"/>
    <w:rsid w:val="002D76D1"/>
    <w:rsid w:val="002E46DB"/>
    <w:rsid w:val="00337BCA"/>
    <w:rsid w:val="003869CD"/>
    <w:rsid w:val="003A3058"/>
    <w:rsid w:val="003B0061"/>
    <w:rsid w:val="00420125"/>
    <w:rsid w:val="00441AA1"/>
    <w:rsid w:val="004C57D0"/>
    <w:rsid w:val="004D2B21"/>
    <w:rsid w:val="004E336B"/>
    <w:rsid w:val="004E6C9E"/>
    <w:rsid w:val="005D6C16"/>
    <w:rsid w:val="00771861"/>
    <w:rsid w:val="00777460"/>
    <w:rsid w:val="00881A68"/>
    <w:rsid w:val="00906716"/>
    <w:rsid w:val="009A0971"/>
    <w:rsid w:val="009F5CAB"/>
    <w:rsid w:val="00A81AE2"/>
    <w:rsid w:val="00A82DA6"/>
    <w:rsid w:val="00A84796"/>
    <w:rsid w:val="00B03AC5"/>
    <w:rsid w:val="00B84ECE"/>
    <w:rsid w:val="00B94026"/>
    <w:rsid w:val="00BC0BD1"/>
    <w:rsid w:val="00C02499"/>
    <w:rsid w:val="00C80CD9"/>
    <w:rsid w:val="00C955F2"/>
    <w:rsid w:val="00C9570E"/>
    <w:rsid w:val="00CC5757"/>
    <w:rsid w:val="00CE2D93"/>
    <w:rsid w:val="00D13B2E"/>
    <w:rsid w:val="00D279C4"/>
    <w:rsid w:val="00D513A3"/>
    <w:rsid w:val="00D8378A"/>
    <w:rsid w:val="00D85BF6"/>
    <w:rsid w:val="00D94F2F"/>
    <w:rsid w:val="00D95D58"/>
    <w:rsid w:val="00DE1A1B"/>
    <w:rsid w:val="00E64BE9"/>
    <w:rsid w:val="00EC3DA6"/>
    <w:rsid w:val="00F869F7"/>
    <w:rsid w:val="00F91B34"/>
    <w:rsid w:val="00FC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EC7B2A"/>
  <w15:docId w15:val="{66E744CF-931D-436D-8FCB-C9646697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LSDeadline">
    <w:name w:val="LSDeadline"/>
    <w:basedOn w:val="Normal"/>
    <w:rsid w:val="003869CD"/>
    <w:rPr>
      <w:b/>
      <w:bCs/>
    </w:rPr>
  </w:style>
  <w:style w:type="paragraph" w:customStyle="1" w:styleId="LSForAction">
    <w:name w:val="LSForAction"/>
    <w:basedOn w:val="Normal"/>
    <w:rsid w:val="003869CD"/>
    <w:rPr>
      <w:b/>
      <w:bCs/>
    </w:rPr>
  </w:style>
  <w:style w:type="paragraph" w:customStyle="1" w:styleId="LSSource">
    <w:name w:val="LSSource"/>
    <w:basedOn w:val="Normal"/>
    <w:rsid w:val="003869CD"/>
    <w:rPr>
      <w:b/>
      <w:bCs/>
    </w:rPr>
  </w:style>
  <w:style w:type="paragraph" w:customStyle="1" w:styleId="LSTitle">
    <w:name w:val="LSTitle"/>
    <w:basedOn w:val="Normal"/>
    <w:rsid w:val="003869CD"/>
    <w:rPr>
      <w:b/>
      <w:bCs/>
    </w:rPr>
  </w:style>
  <w:style w:type="paragraph" w:customStyle="1" w:styleId="LSTo">
    <w:name w:val="LSTo"/>
    <w:basedOn w:val="Normal"/>
    <w:rsid w:val="003869CD"/>
    <w:rPr>
      <w:b/>
      <w:bCs/>
    </w:rPr>
  </w:style>
  <w:style w:type="paragraph" w:customStyle="1" w:styleId="LSForInfo">
    <w:name w:val="LSForInfo"/>
    <w:basedOn w:val="LSForAction"/>
    <w:rsid w:val="003869CD"/>
  </w:style>
  <w:style w:type="paragraph" w:customStyle="1" w:styleId="LSForComment">
    <w:name w:val="LSForComment"/>
    <w:basedOn w:val="LSForAction"/>
    <w:rsid w:val="003869CD"/>
  </w:style>
  <w:style w:type="character" w:styleId="Hyperlink">
    <w:name w:val="Hyperlink"/>
    <w:basedOn w:val="DefaultParagraphFont"/>
    <w:rsid w:val="00C80C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5BF6"/>
    <w:pPr>
      <w:ind w:left="720"/>
      <w:contextualSpacing/>
    </w:pPr>
  </w:style>
  <w:style w:type="paragraph" w:customStyle="1" w:styleId="Docnumber">
    <w:name w:val="Docnumber"/>
    <w:basedOn w:val="Normal"/>
    <w:link w:val="DocnumberChar"/>
    <w:rsid w:val="002E46DB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2E46DB"/>
    <w:rPr>
      <w:b/>
      <w:bCs/>
      <w:sz w:val="40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E336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E336B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morton@att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exander.raake@telekom.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orgen.gustafsson@ericss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kahashi.akira@lab.ntt.co.jp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TSB-Reference\Templates\TSBAuthorsTemplate\ItutLiaison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ItutLiaison-Template.dot</Template>
  <TotalTime>0</TotalTime>
  <Pages>2</Pages>
  <Words>437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ITU-T Study Group 12 work on Streaming Media Quality</vt:lpstr>
    </vt:vector>
  </TitlesOfParts>
  <Manager>ITU-T</Manager>
  <Company>International Telecommunication Union (ITU)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ITU-T Study Group 12 work on Streaming Media Quality</dc:title>
  <dc:creator>ITU-T Study Group 12</dc:creator>
  <cp:keywords>13, 14, 17/12</cp:keywords>
  <dc:description>COM 12 – LS 128 – E  For: _x000d_Document date: _x000d_Saved by ITU51010564 at 14:22:39 on 20/10/2016</dc:description>
  <cp:lastModifiedBy>Labare, Emmanuelle</cp:lastModifiedBy>
  <cp:revision>4</cp:revision>
  <cp:lastPrinted>2002-08-01T07:30:00Z</cp:lastPrinted>
  <dcterms:created xsi:type="dcterms:W3CDTF">2016-10-20T15:49:00Z</dcterms:created>
  <dcterms:modified xsi:type="dcterms:W3CDTF">2016-10-20T15:57:00Z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COM 12 – LS 128 – E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13, 14, 17/12</vt:lpwstr>
  </property>
  <property fmtid="{D5CDD505-2E9C-101B-9397-08002B2CF9AE}" pid="6" name="Docdest">
    <vt:lpwstr/>
  </property>
  <property fmtid="{D5CDD505-2E9C-101B-9397-08002B2CF9AE}" pid="7" name="Docauthor">
    <vt:lpwstr>ITU-T Study Group 12</vt:lpwstr>
  </property>
</Properties>
</file>